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FC8D">
      <w:pPr>
        <w:spacing w:line="262" w:lineRule="auto"/>
        <w:rPr>
          <w:rFonts w:ascii="Arial"/>
          <w:sz w:val="21"/>
        </w:rPr>
      </w:pPr>
    </w:p>
    <w:p w14:paraId="58A5230C">
      <w:pPr>
        <w:spacing w:line="262" w:lineRule="auto"/>
        <w:rPr>
          <w:rFonts w:ascii="Arial"/>
          <w:sz w:val="21"/>
        </w:rPr>
      </w:pPr>
    </w:p>
    <w:p w14:paraId="735BFC31">
      <w:pPr>
        <w:spacing w:line="262" w:lineRule="auto"/>
        <w:rPr>
          <w:rFonts w:ascii="Arial"/>
          <w:sz w:val="21"/>
        </w:rPr>
      </w:pPr>
    </w:p>
    <w:p w14:paraId="320ECC5D">
      <w:pPr>
        <w:spacing w:line="262" w:lineRule="auto"/>
        <w:rPr>
          <w:rFonts w:ascii="Arial"/>
          <w:sz w:val="21"/>
        </w:rPr>
      </w:pPr>
    </w:p>
    <w:p w14:paraId="6835A204">
      <w:pPr>
        <w:spacing w:line="262" w:lineRule="auto"/>
        <w:rPr>
          <w:rFonts w:ascii="Arial"/>
          <w:sz w:val="21"/>
        </w:rPr>
      </w:pPr>
    </w:p>
    <w:p w14:paraId="3FDD7400">
      <w:pPr>
        <w:spacing w:line="262" w:lineRule="auto"/>
        <w:rPr>
          <w:rFonts w:ascii="Arial"/>
          <w:sz w:val="21"/>
        </w:rPr>
      </w:pPr>
    </w:p>
    <w:p w14:paraId="0C6091A0">
      <w:pPr>
        <w:spacing w:line="262" w:lineRule="auto"/>
        <w:rPr>
          <w:rFonts w:ascii="Arial"/>
          <w:sz w:val="21"/>
        </w:rPr>
      </w:pPr>
    </w:p>
    <w:p w14:paraId="2FA2A6B2">
      <w:pPr>
        <w:spacing w:line="262" w:lineRule="auto"/>
        <w:rPr>
          <w:rFonts w:ascii="Arial"/>
          <w:sz w:val="21"/>
        </w:rPr>
      </w:pPr>
    </w:p>
    <w:p w14:paraId="7BDC0C95">
      <w:pPr>
        <w:spacing w:line="255" w:lineRule="auto"/>
        <w:rPr>
          <w:rFonts w:ascii="Arial"/>
          <w:sz w:val="21"/>
        </w:rPr>
      </w:pPr>
    </w:p>
    <w:p w14:paraId="7EDD2199">
      <w:pPr>
        <w:spacing w:before="101" w:line="221" w:lineRule="auto"/>
        <w:ind w:left="2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锡财农〔2024〕1306号</w:t>
      </w:r>
    </w:p>
    <w:p w14:paraId="1FE749E1">
      <w:pPr>
        <w:spacing w:line="471" w:lineRule="auto"/>
        <w:rPr>
          <w:rFonts w:ascii="Arial"/>
          <w:sz w:val="21"/>
        </w:rPr>
      </w:pPr>
    </w:p>
    <w:p w14:paraId="57D76152">
      <w:pPr>
        <w:spacing w:line="60" w:lineRule="exact"/>
        <w:ind w:firstLine="39"/>
      </w:pPr>
    </w:p>
    <w:p w14:paraId="2138C078">
      <w:pPr>
        <w:spacing w:before="69" w:line="219" w:lineRule="auto"/>
        <w:ind w:left="60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2"/>
          <w:sz w:val="47"/>
          <w:szCs w:val="47"/>
        </w:rPr>
        <w:t>锡林郭勒盟财政局关于提前下达2025年</w:t>
      </w:r>
    </w:p>
    <w:p w14:paraId="7B720C19">
      <w:pPr>
        <w:spacing w:before="3" w:line="219" w:lineRule="auto"/>
        <w:ind w:left="120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0"/>
          <w:sz w:val="47"/>
          <w:szCs w:val="47"/>
        </w:rPr>
        <w:t>自治区财政衔接推进乡村振兴补助</w:t>
      </w:r>
    </w:p>
    <w:p w14:paraId="6FB48F15">
      <w:pPr>
        <w:spacing w:before="44" w:line="219" w:lineRule="auto"/>
        <w:ind w:left="29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资金预算的通知</w:t>
      </w:r>
    </w:p>
    <w:p w14:paraId="2191DE67">
      <w:pPr>
        <w:spacing w:line="292" w:lineRule="auto"/>
        <w:rPr>
          <w:rFonts w:ascii="Arial"/>
          <w:sz w:val="21"/>
        </w:rPr>
      </w:pPr>
    </w:p>
    <w:p w14:paraId="7B7EBB3A">
      <w:pPr>
        <w:spacing w:line="293" w:lineRule="auto"/>
        <w:rPr>
          <w:rFonts w:ascii="Arial"/>
          <w:sz w:val="21"/>
        </w:rPr>
      </w:pPr>
    </w:p>
    <w:p w14:paraId="0F7AD260">
      <w:pPr>
        <w:pStyle w:val="2"/>
        <w:spacing w:before="101" w:line="223" w:lineRule="auto"/>
      </w:pPr>
      <w:r>
        <w:rPr>
          <w:spacing w:val="-1"/>
        </w:rPr>
        <w:t>各地区财政局：</w:t>
      </w:r>
    </w:p>
    <w:p w14:paraId="70FFD1F9">
      <w:pPr>
        <w:pStyle w:val="2"/>
        <w:spacing w:before="179" w:line="323" w:lineRule="auto"/>
        <w:ind w:firstLine="689"/>
        <w:jc w:val="both"/>
      </w:pPr>
      <w:r>
        <w:rPr>
          <w:spacing w:val="6"/>
        </w:rPr>
        <w:t>为提高预算完整性，加快支出进度，根据《内蒙古自治</w:t>
      </w:r>
      <w:r>
        <w:rPr>
          <w:spacing w:val="5"/>
        </w:rPr>
        <w:t>区财</w:t>
      </w:r>
      <w:r>
        <w:t xml:space="preserve"> </w:t>
      </w:r>
      <w:r>
        <w:rPr>
          <w:spacing w:val="17"/>
        </w:rPr>
        <w:t>政厅关于提前2025年自治区财政衔接推进乡村振兴补</w:t>
      </w:r>
      <w:r>
        <w:rPr>
          <w:spacing w:val="16"/>
        </w:rPr>
        <w:t>助资金的</w:t>
      </w:r>
      <w:r>
        <w:t xml:space="preserve"> </w:t>
      </w:r>
      <w:r>
        <w:rPr>
          <w:spacing w:val="19"/>
        </w:rPr>
        <w:t>通知》(内财农〔2024〕1824号),现提前下达你地2025年自治</w:t>
      </w:r>
      <w:r>
        <w:rPr>
          <w:spacing w:val="18"/>
        </w:rPr>
        <w:t xml:space="preserve"> </w:t>
      </w:r>
      <w:r>
        <w:rPr>
          <w:spacing w:val="4"/>
        </w:rPr>
        <w:t>区财政衔接推进乡村振兴补助资金预算指标(以下简称衔接</w:t>
      </w:r>
      <w:r>
        <w:rPr>
          <w:spacing w:val="3"/>
        </w:rPr>
        <w:t>资金),</w:t>
      </w:r>
      <w:r>
        <w:t xml:space="preserve"> </w:t>
      </w:r>
      <w:r>
        <w:rPr>
          <w:spacing w:val="10"/>
        </w:rPr>
        <w:t>收入列2025年政府收支分类科目“1100313农林水”科目，支出</w:t>
      </w:r>
      <w:r>
        <w:rPr>
          <w:spacing w:val="18"/>
        </w:rPr>
        <w:t xml:space="preserve"> </w:t>
      </w:r>
      <w:r>
        <w:rPr>
          <w:spacing w:val="3"/>
        </w:rPr>
        <w:t>列“21305”相应科目。现将有关事项通</w:t>
      </w:r>
      <w:r>
        <w:rPr>
          <w:spacing w:val="2"/>
        </w:rPr>
        <w:t>知如下。</w:t>
      </w:r>
    </w:p>
    <w:p w14:paraId="182BF36E">
      <w:pPr>
        <w:pStyle w:val="2"/>
        <w:spacing w:before="68" w:line="220" w:lineRule="auto"/>
        <w:ind w:left="689"/>
      </w:pPr>
      <w:r>
        <w:rPr>
          <w:spacing w:val="2"/>
        </w:rPr>
        <w:t>一</w:t>
      </w:r>
      <w:r>
        <w:rPr>
          <w:spacing w:val="-69"/>
        </w:rPr>
        <w:t xml:space="preserve"> </w:t>
      </w:r>
      <w:r>
        <w:rPr>
          <w:spacing w:val="2"/>
        </w:rPr>
        <w:t>、做好预算编制和资金分解下达工作。请按照《内蒙古自</w:t>
      </w:r>
    </w:p>
    <w:p w14:paraId="4AEE245E">
      <w:pPr>
        <w:spacing w:line="220" w:lineRule="auto"/>
        <w:sectPr>
          <w:footerReference r:id="rId5" w:type="default"/>
          <w:pgSz w:w="12330" w:h="17140"/>
          <w:pgMar w:top="1456" w:right="1757" w:bottom="2079" w:left="1620" w:header="0" w:footer="1840" w:gutter="0"/>
          <w:cols w:space="720" w:num="1"/>
        </w:sectPr>
      </w:pPr>
    </w:p>
    <w:p w14:paraId="3C427ED3">
      <w:pPr>
        <w:spacing w:line="278" w:lineRule="auto"/>
        <w:rPr>
          <w:rFonts w:ascii="Arial"/>
          <w:sz w:val="21"/>
        </w:rPr>
      </w:pPr>
    </w:p>
    <w:p w14:paraId="5EA7A96F">
      <w:pPr>
        <w:spacing w:line="278" w:lineRule="auto"/>
        <w:rPr>
          <w:rFonts w:ascii="Arial"/>
          <w:sz w:val="21"/>
        </w:rPr>
      </w:pPr>
    </w:p>
    <w:p w14:paraId="34BF1347">
      <w:pPr>
        <w:spacing w:line="278" w:lineRule="auto"/>
        <w:rPr>
          <w:rFonts w:ascii="Arial"/>
          <w:sz w:val="21"/>
        </w:rPr>
      </w:pPr>
    </w:p>
    <w:p w14:paraId="05EAAA9B">
      <w:pPr>
        <w:pStyle w:val="2"/>
        <w:spacing w:before="100" w:line="329" w:lineRule="auto"/>
        <w:ind w:firstLine="24"/>
        <w:jc w:val="both"/>
      </w:pPr>
      <w:r>
        <w:rPr>
          <w:spacing w:val="-4"/>
        </w:rPr>
        <w:t>治区财政衔接推进乡村振兴补助资金管理办</w:t>
      </w:r>
      <w:r>
        <w:rPr>
          <w:spacing w:val="-5"/>
        </w:rPr>
        <w:t>法》(内财农规〔2022〕</w:t>
      </w:r>
      <w:r>
        <w:t xml:space="preserve"> </w:t>
      </w:r>
      <w:r>
        <w:rPr>
          <w:spacing w:val="7"/>
        </w:rPr>
        <w:t>4号)等有关文件规定，结合自治区下达预算做好预算编制、分解</w:t>
      </w:r>
      <w:r>
        <w:rPr>
          <w:spacing w:val="15"/>
        </w:rPr>
        <w:t xml:space="preserve"> </w:t>
      </w:r>
      <w:r>
        <w:rPr>
          <w:spacing w:val="11"/>
        </w:rPr>
        <w:t>下达等工作。相关指标待2025年预算年</w:t>
      </w:r>
      <w:r>
        <w:rPr>
          <w:spacing w:val="10"/>
        </w:rPr>
        <w:t>度开始后，按程序使用。</w:t>
      </w:r>
      <w:r>
        <w:t xml:space="preserve"> </w:t>
      </w:r>
      <w:r>
        <w:rPr>
          <w:spacing w:val="7"/>
        </w:rPr>
        <w:t>安排给国家和自治区乡村振兴重点帮扶旗县的资金，按照自</w:t>
      </w:r>
      <w:r>
        <w:rPr>
          <w:spacing w:val="6"/>
        </w:rPr>
        <w:t>治区</w:t>
      </w:r>
      <w:r>
        <w:t xml:space="preserve">  </w:t>
      </w:r>
      <w:r>
        <w:rPr>
          <w:spacing w:val="5"/>
        </w:rPr>
        <w:t>财政厅等十部门转发的《关于将脱贫县涉农资金统筹整合试点政</w:t>
      </w:r>
      <w:r>
        <w:rPr>
          <w:spacing w:val="8"/>
        </w:rPr>
        <w:t xml:space="preserve">  </w:t>
      </w:r>
      <w:r>
        <w:rPr>
          <w:spacing w:val="24"/>
        </w:rPr>
        <w:t>策优化调整至国家乡村振兴重点帮扶县实施的通知》(内财农</w:t>
      </w:r>
      <w:r>
        <w:rPr>
          <w:spacing w:val="1"/>
        </w:rPr>
        <w:t xml:space="preserve">  </w:t>
      </w:r>
      <w:r>
        <w:rPr>
          <w:spacing w:val="3"/>
        </w:rPr>
        <w:t>〔2024〕292号)等有关规定执行。</w:t>
      </w:r>
    </w:p>
    <w:p w14:paraId="0236D710">
      <w:pPr>
        <w:pStyle w:val="2"/>
        <w:spacing w:before="35" w:line="330" w:lineRule="auto"/>
        <w:ind w:left="24" w:right="121" w:firstLine="670"/>
        <w:jc w:val="both"/>
      </w:pPr>
      <w:r>
        <w:rPr>
          <w:spacing w:val="2"/>
        </w:rPr>
        <w:t>二</w:t>
      </w:r>
      <w:r>
        <w:rPr>
          <w:spacing w:val="-55"/>
        </w:rPr>
        <w:t xml:space="preserve"> </w:t>
      </w:r>
      <w:r>
        <w:rPr>
          <w:spacing w:val="2"/>
        </w:rPr>
        <w:t>、突出衔接资金支持重点。请认真贯彻落实党的二十大和</w:t>
      </w:r>
      <w:r>
        <w:t xml:space="preserve"> </w:t>
      </w:r>
      <w:r>
        <w:rPr>
          <w:spacing w:val="7"/>
        </w:rPr>
        <w:t>二十届二中、三中全会精神，以及《中共中央</w:t>
      </w:r>
      <w:r>
        <w:rPr>
          <w:spacing w:val="6"/>
        </w:rPr>
        <w:t>国务院关于实现巩</w:t>
      </w:r>
      <w:r>
        <w:t xml:space="preserve"> </w:t>
      </w:r>
      <w:r>
        <w:rPr>
          <w:spacing w:val="-6"/>
        </w:rPr>
        <w:t>固拓展脱贫攻坚成果同乡村振兴有效衔接的意见》、自治区财政厅</w:t>
      </w:r>
      <w:r>
        <w:rPr>
          <w:spacing w:val="3"/>
        </w:rPr>
        <w:t xml:space="preserve"> </w:t>
      </w:r>
      <w:r>
        <w:rPr>
          <w:spacing w:val="6"/>
        </w:rPr>
        <w:t>等六部门印发的《关于加强自治区财政衔接推进乡村振兴补助资</w:t>
      </w:r>
      <w:r>
        <w:rPr>
          <w:spacing w:val="3"/>
        </w:rPr>
        <w:t xml:space="preserve"> </w:t>
      </w:r>
      <w:r>
        <w:t>金使用管理的指导意见》(内财农〔2022〕379号)等要求，督促相</w:t>
      </w:r>
      <w:r>
        <w:rPr>
          <w:spacing w:val="17"/>
        </w:rPr>
        <w:t xml:space="preserve"> </w:t>
      </w:r>
      <w:r>
        <w:rPr>
          <w:spacing w:val="5"/>
        </w:rPr>
        <w:t>关行业主管部门加强项目谋划入库等前期工</w:t>
      </w:r>
      <w:r>
        <w:rPr>
          <w:spacing w:val="4"/>
        </w:rPr>
        <w:t>作，突出衔接资金支</w:t>
      </w:r>
      <w:r>
        <w:t xml:space="preserve"> </w:t>
      </w:r>
      <w:r>
        <w:rPr>
          <w:spacing w:val="5"/>
        </w:rPr>
        <w:t>持重点，优先支持联农带农富农产业发展，健全完善利益联结机</w:t>
      </w:r>
      <w:r>
        <w:rPr>
          <w:spacing w:val="18"/>
        </w:rPr>
        <w:t xml:space="preserve"> </w:t>
      </w:r>
      <w:r>
        <w:rPr>
          <w:spacing w:val="-5"/>
        </w:rPr>
        <w:t>制，促进补上其他短板弱项，推动巩固拓展脱贫攻坚</w:t>
      </w:r>
      <w:r>
        <w:rPr>
          <w:spacing w:val="-6"/>
        </w:rPr>
        <w:t>成果、衔接推</w:t>
      </w:r>
      <w:r>
        <w:t xml:space="preserve"> </w:t>
      </w:r>
      <w:r>
        <w:rPr>
          <w:spacing w:val="-4"/>
        </w:rPr>
        <w:t>进乡村振兴。</w:t>
      </w:r>
    </w:p>
    <w:p w14:paraId="72CC7978">
      <w:pPr>
        <w:pStyle w:val="2"/>
        <w:spacing w:before="41" w:line="326" w:lineRule="auto"/>
        <w:ind w:left="24" w:right="125" w:firstLine="719"/>
        <w:jc w:val="both"/>
      </w:pPr>
      <w:r>
        <w:rPr>
          <w:spacing w:val="-2"/>
        </w:rPr>
        <w:t>三 、认真落实预算执行常态化监督有关要求。此次下</w:t>
      </w:r>
      <w:r>
        <w:rPr>
          <w:spacing w:val="-3"/>
        </w:rPr>
        <w:t>达的自</w:t>
      </w:r>
      <w:r>
        <w:t xml:space="preserve"> </w:t>
      </w:r>
      <w:r>
        <w:rPr>
          <w:spacing w:val="6"/>
        </w:rPr>
        <w:t>治区衔接资金列入转移支付预算执行常态化监督范</w:t>
      </w:r>
      <w:r>
        <w:rPr>
          <w:spacing w:val="5"/>
        </w:rPr>
        <w:t>围，各地财政</w:t>
      </w:r>
      <w:r>
        <w:t xml:space="preserve"> </w:t>
      </w:r>
      <w:r>
        <w:rPr>
          <w:spacing w:val="-5"/>
        </w:rPr>
        <w:t>部门要在预算管理一体化系统及时接收登录预算指标，</w:t>
      </w:r>
      <w:r>
        <w:rPr>
          <w:spacing w:val="-6"/>
        </w:rPr>
        <w:t>并保持“追</w:t>
      </w:r>
      <w:r>
        <w:t xml:space="preserve"> </w:t>
      </w:r>
      <w:r>
        <w:rPr>
          <w:spacing w:val="6"/>
        </w:rPr>
        <w:t>踪”标识不变，将资金分解落实到单位和具体项目时，对资</w:t>
      </w:r>
      <w:r>
        <w:rPr>
          <w:spacing w:val="5"/>
        </w:rPr>
        <w:t>金来</w:t>
      </w:r>
      <w:r>
        <w:t xml:space="preserve"> </w:t>
      </w:r>
      <w:r>
        <w:rPr>
          <w:spacing w:val="6"/>
        </w:rPr>
        <w:t>源既包含自治区衔接资金又包含地方对应安排资金</w:t>
      </w:r>
      <w:r>
        <w:rPr>
          <w:spacing w:val="5"/>
        </w:rPr>
        <w:t>的，应在预算</w:t>
      </w:r>
      <w:r>
        <w:t xml:space="preserve"> </w:t>
      </w:r>
      <w:r>
        <w:rPr>
          <w:spacing w:val="5"/>
        </w:rPr>
        <w:t>指标文件、预算管理一体化系统中按资金明细来源分别列示和登</w:t>
      </w:r>
    </w:p>
    <w:p w14:paraId="3E777FF0">
      <w:pPr>
        <w:spacing w:line="326" w:lineRule="auto"/>
        <w:sectPr>
          <w:footerReference r:id="rId6" w:type="default"/>
          <w:pgSz w:w="12360" w:h="17160"/>
          <w:pgMar w:top="1458" w:right="1555" w:bottom="2168" w:left="1775" w:header="0" w:footer="1930" w:gutter="0"/>
          <w:cols w:space="720" w:num="1"/>
        </w:sectPr>
      </w:pPr>
    </w:p>
    <w:p w14:paraId="2933DA57">
      <w:pPr>
        <w:spacing w:line="270" w:lineRule="auto"/>
        <w:rPr>
          <w:rFonts w:ascii="Arial"/>
          <w:sz w:val="21"/>
        </w:rPr>
      </w:pPr>
    </w:p>
    <w:p w14:paraId="7D60CCE8">
      <w:pPr>
        <w:spacing w:line="271" w:lineRule="auto"/>
        <w:rPr>
          <w:rFonts w:ascii="Arial"/>
          <w:sz w:val="21"/>
        </w:rPr>
      </w:pPr>
    </w:p>
    <w:p w14:paraId="4AD75B03">
      <w:pPr>
        <w:spacing w:line="271" w:lineRule="auto"/>
        <w:rPr>
          <w:rFonts w:ascii="Arial"/>
          <w:sz w:val="21"/>
        </w:rPr>
      </w:pPr>
    </w:p>
    <w:p w14:paraId="2B1609DB">
      <w:pPr>
        <w:pStyle w:val="2"/>
        <w:spacing w:before="100" w:line="323" w:lineRule="auto"/>
        <w:ind w:left="18" w:hanging="19"/>
      </w:pPr>
      <w:r>
        <w:rPr>
          <w:spacing w:val="7"/>
        </w:rPr>
        <w:t>录预算指标。要依托预算管理一体化系统转移支付监控模块，加</w:t>
      </w:r>
      <w:r>
        <w:rPr>
          <w:spacing w:val="14"/>
        </w:rPr>
        <w:t xml:space="preserve"> </w:t>
      </w:r>
      <w:r>
        <w:rPr>
          <w:spacing w:val="-5"/>
        </w:rPr>
        <w:t>强日常监管，提高转移支付资金管理使用的规范性和有效性。</w:t>
      </w:r>
    </w:p>
    <w:p w14:paraId="4D5ABD06">
      <w:pPr>
        <w:spacing w:line="262" w:lineRule="auto"/>
        <w:rPr>
          <w:rFonts w:ascii="Arial"/>
          <w:sz w:val="21"/>
        </w:rPr>
      </w:pPr>
    </w:p>
    <w:p w14:paraId="2A404E61">
      <w:pPr>
        <w:spacing w:line="263" w:lineRule="auto"/>
        <w:rPr>
          <w:rFonts w:ascii="Arial"/>
          <w:sz w:val="21"/>
        </w:rPr>
      </w:pPr>
    </w:p>
    <w:p w14:paraId="1A16A090">
      <w:pPr>
        <w:pStyle w:val="2"/>
        <w:spacing w:before="101" w:line="222" w:lineRule="auto"/>
        <w:ind w:left="629"/>
      </w:pPr>
      <w:r>
        <w:rPr>
          <w:spacing w:val="1"/>
        </w:rPr>
        <w:t>附件：提前下达2025年自治区衔接资金分配表</w:t>
      </w:r>
    </w:p>
    <w:p w14:paraId="1A56F85F">
      <w:pPr>
        <w:spacing w:line="245" w:lineRule="auto"/>
        <w:rPr>
          <w:rFonts w:ascii="Arial"/>
          <w:sz w:val="21"/>
        </w:rPr>
      </w:pPr>
    </w:p>
    <w:p w14:paraId="5269711A">
      <w:pPr>
        <w:spacing w:line="245" w:lineRule="auto"/>
        <w:rPr>
          <w:rFonts w:ascii="Arial"/>
          <w:sz w:val="21"/>
        </w:rPr>
      </w:pPr>
    </w:p>
    <w:p w14:paraId="20870899">
      <w:pPr>
        <w:spacing w:line="245" w:lineRule="auto"/>
        <w:rPr>
          <w:rFonts w:ascii="Arial"/>
          <w:sz w:val="21"/>
        </w:rPr>
      </w:pPr>
    </w:p>
    <w:p w14:paraId="6DFCA7DE">
      <w:pPr>
        <w:spacing w:line="245" w:lineRule="auto"/>
        <w:rPr>
          <w:rFonts w:ascii="Arial"/>
          <w:sz w:val="21"/>
        </w:rPr>
      </w:pPr>
    </w:p>
    <w:p w14:paraId="778858ED">
      <w:pPr>
        <w:spacing w:line="245" w:lineRule="auto"/>
        <w:rPr>
          <w:rFonts w:ascii="Arial"/>
          <w:sz w:val="21"/>
        </w:rPr>
      </w:pPr>
    </w:p>
    <w:p w14:paraId="125F6E23">
      <w:pPr>
        <w:spacing w:line="245" w:lineRule="auto"/>
        <w:rPr>
          <w:rFonts w:ascii="Arial"/>
          <w:sz w:val="21"/>
        </w:rPr>
      </w:pPr>
    </w:p>
    <w:p w14:paraId="4C45A317">
      <w:pPr>
        <w:spacing w:line="245" w:lineRule="auto"/>
        <w:rPr>
          <w:rFonts w:ascii="Arial"/>
          <w:sz w:val="21"/>
        </w:rPr>
      </w:pPr>
    </w:p>
    <w:p w14:paraId="52A5FC4E">
      <w:pPr>
        <w:pStyle w:val="2"/>
        <w:spacing w:before="101" w:line="222" w:lineRule="auto"/>
        <w:ind w:left="5739"/>
      </w:pPr>
      <w:bookmarkStart w:id="0" w:name="_GoBack"/>
      <w:bookmarkEnd w:id="0"/>
      <w:r>
        <w:rPr>
          <w:spacing w:val="2"/>
        </w:rPr>
        <w:t>锡林郭勒盟财政局</w:t>
      </w:r>
    </w:p>
    <w:p w14:paraId="4937C0BF">
      <w:pPr>
        <w:spacing w:before="182" w:line="219" w:lineRule="auto"/>
        <w:ind w:left="5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0"/>
          <w:sz w:val="31"/>
          <w:szCs w:val="31"/>
        </w:rPr>
        <w:t>2024年12月31日</w:t>
      </w:r>
    </w:p>
    <w:p w14:paraId="37D11C20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2150" w:h="17010"/>
          <w:pgMar w:top="1445" w:right="1528" w:bottom="2045" w:left="1730" w:header="0" w:footer="1797" w:gutter="0"/>
          <w:cols w:space="720" w:num="1"/>
        </w:sectPr>
      </w:pPr>
    </w:p>
    <w:p w14:paraId="60C5307C">
      <w:pPr>
        <w:spacing w:line="245" w:lineRule="auto"/>
        <w:rPr>
          <w:rFonts w:ascii="Arial"/>
          <w:sz w:val="21"/>
        </w:rPr>
      </w:pPr>
    </w:p>
    <w:p w14:paraId="3A481D97">
      <w:pPr>
        <w:spacing w:line="245" w:lineRule="auto"/>
        <w:rPr>
          <w:rFonts w:ascii="Arial"/>
          <w:sz w:val="21"/>
        </w:rPr>
      </w:pPr>
    </w:p>
    <w:p w14:paraId="6E08F044">
      <w:pPr>
        <w:spacing w:line="245" w:lineRule="auto"/>
        <w:rPr>
          <w:rFonts w:ascii="Arial"/>
          <w:sz w:val="21"/>
        </w:rPr>
      </w:pPr>
    </w:p>
    <w:p w14:paraId="33274E9C">
      <w:pPr>
        <w:spacing w:line="245" w:lineRule="auto"/>
        <w:rPr>
          <w:rFonts w:ascii="Arial"/>
          <w:sz w:val="21"/>
        </w:rPr>
      </w:pPr>
    </w:p>
    <w:p w14:paraId="179B670E">
      <w:pPr>
        <w:spacing w:line="245" w:lineRule="auto"/>
        <w:rPr>
          <w:rFonts w:ascii="Arial"/>
          <w:sz w:val="21"/>
        </w:rPr>
      </w:pPr>
    </w:p>
    <w:p w14:paraId="2F37470B">
      <w:pPr>
        <w:spacing w:line="245" w:lineRule="auto"/>
        <w:rPr>
          <w:rFonts w:ascii="Arial"/>
          <w:sz w:val="21"/>
        </w:rPr>
      </w:pPr>
    </w:p>
    <w:p w14:paraId="661FD6BA">
      <w:pPr>
        <w:spacing w:line="245" w:lineRule="auto"/>
        <w:rPr>
          <w:rFonts w:ascii="Arial"/>
          <w:sz w:val="21"/>
        </w:rPr>
      </w:pPr>
    </w:p>
    <w:p w14:paraId="7C1F7E3F">
      <w:pPr>
        <w:spacing w:line="245" w:lineRule="auto"/>
        <w:rPr>
          <w:rFonts w:ascii="Arial"/>
          <w:sz w:val="21"/>
        </w:rPr>
      </w:pPr>
    </w:p>
    <w:p w14:paraId="39803E0A">
      <w:pPr>
        <w:spacing w:line="245" w:lineRule="auto"/>
        <w:rPr>
          <w:rFonts w:ascii="Arial"/>
          <w:sz w:val="21"/>
        </w:rPr>
      </w:pPr>
    </w:p>
    <w:p w14:paraId="2A0BB923">
      <w:pPr>
        <w:spacing w:line="245" w:lineRule="auto"/>
        <w:rPr>
          <w:rFonts w:ascii="Arial"/>
          <w:sz w:val="21"/>
        </w:rPr>
      </w:pPr>
    </w:p>
    <w:p w14:paraId="3EDC7771">
      <w:pPr>
        <w:spacing w:line="245" w:lineRule="auto"/>
        <w:rPr>
          <w:rFonts w:ascii="Arial"/>
          <w:sz w:val="21"/>
        </w:rPr>
      </w:pPr>
    </w:p>
    <w:p w14:paraId="127418FC">
      <w:pPr>
        <w:spacing w:line="245" w:lineRule="auto"/>
        <w:rPr>
          <w:rFonts w:ascii="Arial"/>
          <w:sz w:val="21"/>
        </w:rPr>
      </w:pPr>
    </w:p>
    <w:p w14:paraId="065D2A9C">
      <w:pPr>
        <w:spacing w:line="245" w:lineRule="auto"/>
        <w:rPr>
          <w:rFonts w:ascii="Arial"/>
          <w:sz w:val="21"/>
        </w:rPr>
      </w:pPr>
    </w:p>
    <w:p w14:paraId="32C1E591">
      <w:pPr>
        <w:spacing w:line="245" w:lineRule="auto"/>
        <w:rPr>
          <w:rFonts w:ascii="Arial"/>
          <w:sz w:val="21"/>
        </w:rPr>
      </w:pPr>
    </w:p>
    <w:p w14:paraId="70556D76">
      <w:pPr>
        <w:spacing w:line="245" w:lineRule="auto"/>
        <w:rPr>
          <w:rFonts w:ascii="Arial"/>
          <w:sz w:val="21"/>
        </w:rPr>
      </w:pPr>
    </w:p>
    <w:p w14:paraId="4A5DC798">
      <w:pPr>
        <w:spacing w:line="245" w:lineRule="auto"/>
        <w:rPr>
          <w:rFonts w:ascii="Arial"/>
          <w:sz w:val="21"/>
        </w:rPr>
      </w:pPr>
    </w:p>
    <w:p w14:paraId="078F276F">
      <w:pPr>
        <w:spacing w:line="245" w:lineRule="auto"/>
        <w:rPr>
          <w:rFonts w:ascii="Arial"/>
          <w:sz w:val="21"/>
        </w:rPr>
      </w:pPr>
    </w:p>
    <w:p w14:paraId="263DFAB8">
      <w:pPr>
        <w:spacing w:line="245" w:lineRule="auto"/>
        <w:rPr>
          <w:rFonts w:ascii="Arial"/>
          <w:sz w:val="21"/>
        </w:rPr>
      </w:pPr>
    </w:p>
    <w:p w14:paraId="6D092868">
      <w:pPr>
        <w:spacing w:line="245" w:lineRule="auto"/>
        <w:rPr>
          <w:rFonts w:ascii="Arial"/>
          <w:sz w:val="21"/>
        </w:rPr>
      </w:pPr>
    </w:p>
    <w:p w14:paraId="593DC565">
      <w:pPr>
        <w:spacing w:line="245" w:lineRule="auto"/>
        <w:rPr>
          <w:rFonts w:ascii="Arial"/>
          <w:sz w:val="21"/>
        </w:rPr>
      </w:pPr>
    </w:p>
    <w:p w14:paraId="14CFE361">
      <w:pPr>
        <w:spacing w:line="245" w:lineRule="auto"/>
        <w:rPr>
          <w:rFonts w:ascii="Arial"/>
          <w:sz w:val="21"/>
        </w:rPr>
      </w:pPr>
    </w:p>
    <w:p w14:paraId="2A0A8809">
      <w:pPr>
        <w:spacing w:line="245" w:lineRule="auto"/>
        <w:rPr>
          <w:rFonts w:ascii="Arial"/>
          <w:sz w:val="21"/>
        </w:rPr>
      </w:pPr>
    </w:p>
    <w:p w14:paraId="60664F09">
      <w:pPr>
        <w:spacing w:line="245" w:lineRule="auto"/>
        <w:rPr>
          <w:rFonts w:ascii="Arial"/>
          <w:sz w:val="21"/>
        </w:rPr>
      </w:pPr>
    </w:p>
    <w:p w14:paraId="3D8116A4">
      <w:pPr>
        <w:spacing w:line="245" w:lineRule="auto"/>
        <w:rPr>
          <w:rFonts w:ascii="Arial"/>
          <w:sz w:val="21"/>
        </w:rPr>
      </w:pPr>
    </w:p>
    <w:p w14:paraId="6DDE6B12">
      <w:pPr>
        <w:spacing w:line="245" w:lineRule="auto"/>
        <w:rPr>
          <w:rFonts w:ascii="Arial"/>
          <w:sz w:val="21"/>
        </w:rPr>
      </w:pPr>
    </w:p>
    <w:p w14:paraId="4DB0CEB3">
      <w:pPr>
        <w:spacing w:line="245" w:lineRule="auto"/>
        <w:rPr>
          <w:rFonts w:ascii="Arial"/>
          <w:sz w:val="21"/>
        </w:rPr>
      </w:pPr>
    </w:p>
    <w:p w14:paraId="3260A628">
      <w:pPr>
        <w:spacing w:line="245" w:lineRule="auto"/>
        <w:rPr>
          <w:rFonts w:ascii="Arial"/>
          <w:sz w:val="21"/>
        </w:rPr>
      </w:pPr>
    </w:p>
    <w:p w14:paraId="6FAE95BF">
      <w:pPr>
        <w:spacing w:line="245" w:lineRule="auto"/>
        <w:rPr>
          <w:rFonts w:ascii="Arial"/>
          <w:sz w:val="21"/>
        </w:rPr>
      </w:pPr>
    </w:p>
    <w:p w14:paraId="0CBBD477">
      <w:pPr>
        <w:spacing w:line="245" w:lineRule="auto"/>
        <w:rPr>
          <w:rFonts w:ascii="Arial"/>
          <w:sz w:val="21"/>
        </w:rPr>
      </w:pPr>
    </w:p>
    <w:p w14:paraId="3E2AE565">
      <w:pPr>
        <w:spacing w:line="245" w:lineRule="auto"/>
        <w:rPr>
          <w:rFonts w:ascii="Arial"/>
          <w:sz w:val="21"/>
        </w:rPr>
      </w:pPr>
    </w:p>
    <w:p w14:paraId="799C666A">
      <w:pPr>
        <w:spacing w:line="245" w:lineRule="auto"/>
        <w:rPr>
          <w:rFonts w:ascii="Arial"/>
          <w:sz w:val="21"/>
        </w:rPr>
      </w:pPr>
    </w:p>
    <w:p w14:paraId="7B380651">
      <w:pPr>
        <w:spacing w:line="245" w:lineRule="auto"/>
        <w:rPr>
          <w:rFonts w:ascii="Arial"/>
          <w:sz w:val="21"/>
        </w:rPr>
      </w:pPr>
    </w:p>
    <w:p w14:paraId="222B8288">
      <w:pPr>
        <w:spacing w:line="245" w:lineRule="auto"/>
        <w:rPr>
          <w:rFonts w:ascii="Arial"/>
          <w:sz w:val="21"/>
        </w:rPr>
      </w:pPr>
    </w:p>
    <w:p w14:paraId="7303254A">
      <w:pPr>
        <w:spacing w:line="245" w:lineRule="auto"/>
        <w:rPr>
          <w:rFonts w:ascii="Arial"/>
          <w:sz w:val="21"/>
        </w:rPr>
      </w:pPr>
    </w:p>
    <w:p w14:paraId="75E1F364">
      <w:pPr>
        <w:spacing w:line="245" w:lineRule="auto"/>
        <w:rPr>
          <w:rFonts w:ascii="Arial"/>
          <w:sz w:val="21"/>
        </w:rPr>
      </w:pPr>
    </w:p>
    <w:p w14:paraId="27CA719D">
      <w:pPr>
        <w:spacing w:line="245" w:lineRule="auto"/>
        <w:rPr>
          <w:rFonts w:ascii="Arial"/>
          <w:sz w:val="21"/>
        </w:rPr>
      </w:pPr>
    </w:p>
    <w:p w14:paraId="066E1E53">
      <w:pPr>
        <w:spacing w:line="245" w:lineRule="auto"/>
        <w:rPr>
          <w:rFonts w:ascii="Arial"/>
          <w:sz w:val="21"/>
        </w:rPr>
      </w:pPr>
    </w:p>
    <w:p w14:paraId="32E85206">
      <w:pPr>
        <w:spacing w:line="245" w:lineRule="auto"/>
        <w:rPr>
          <w:rFonts w:ascii="Arial"/>
          <w:sz w:val="21"/>
        </w:rPr>
      </w:pPr>
    </w:p>
    <w:p w14:paraId="7787B678">
      <w:pPr>
        <w:spacing w:line="245" w:lineRule="auto"/>
        <w:rPr>
          <w:rFonts w:ascii="Arial"/>
          <w:sz w:val="21"/>
        </w:rPr>
      </w:pPr>
    </w:p>
    <w:p w14:paraId="387DDBE6">
      <w:pPr>
        <w:spacing w:line="245" w:lineRule="auto"/>
        <w:rPr>
          <w:rFonts w:ascii="Arial"/>
          <w:sz w:val="21"/>
        </w:rPr>
      </w:pPr>
    </w:p>
    <w:p w14:paraId="0EB72C47">
      <w:pPr>
        <w:spacing w:line="245" w:lineRule="auto"/>
        <w:rPr>
          <w:rFonts w:ascii="Arial"/>
          <w:sz w:val="21"/>
        </w:rPr>
      </w:pPr>
    </w:p>
    <w:p w14:paraId="0DE82CD1">
      <w:pPr>
        <w:spacing w:line="245" w:lineRule="auto"/>
        <w:rPr>
          <w:rFonts w:ascii="Arial"/>
          <w:sz w:val="21"/>
        </w:rPr>
      </w:pPr>
    </w:p>
    <w:p w14:paraId="792205BE">
      <w:pPr>
        <w:spacing w:line="245" w:lineRule="auto"/>
        <w:rPr>
          <w:rFonts w:ascii="Arial"/>
          <w:sz w:val="21"/>
        </w:rPr>
      </w:pPr>
    </w:p>
    <w:p w14:paraId="292ECE83">
      <w:pPr>
        <w:spacing w:line="245" w:lineRule="auto"/>
        <w:rPr>
          <w:rFonts w:ascii="Arial"/>
          <w:sz w:val="21"/>
        </w:rPr>
      </w:pPr>
    </w:p>
    <w:p w14:paraId="3B5A663F">
      <w:pPr>
        <w:spacing w:line="246" w:lineRule="auto"/>
        <w:rPr>
          <w:rFonts w:ascii="Arial"/>
          <w:sz w:val="21"/>
        </w:rPr>
      </w:pPr>
    </w:p>
    <w:p w14:paraId="09371B7F">
      <w:pPr>
        <w:spacing w:line="246" w:lineRule="auto"/>
        <w:rPr>
          <w:rFonts w:ascii="Arial"/>
          <w:sz w:val="21"/>
        </w:rPr>
      </w:pPr>
    </w:p>
    <w:p w14:paraId="75B30424">
      <w:pPr>
        <w:spacing w:before="94" w:line="202" w:lineRule="auto"/>
        <w:ind w:left="3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信息公开选项：</w:t>
      </w:r>
      <w:r>
        <w:rPr>
          <w:rFonts w:ascii="宋体" w:hAnsi="宋体" w:eastAsia="宋体" w:cs="宋体"/>
          <w:spacing w:val="-2"/>
          <w:sz w:val="29"/>
          <w:szCs w:val="29"/>
        </w:rPr>
        <w:t>主动公开</w:t>
      </w:r>
    </w:p>
    <w:tbl>
      <w:tblPr>
        <w:tblStyle w:val="5"/>
        <w:tblW w:w="89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9"/>
        <w:gridCol w:w="3801"/>
      </w:tblGrid>
      <w:tr w14:paraId="02039F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E84097">
            <w:pPr>
              <w:spacing w:before="256" w:line="193" w:lineRule="auto"/>
              <w:ind w:left="3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抄送：盟农牧局、发改委、民委。</w:t>
            </w:r>
          </w:p>
        </w:tc>
        <w:tc>
          <w:tcPr>
            <w:tcW w:w="380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88BDDCD">
            <w:pPr>
              <w:rPr>
                <w:rFonts w:ascii="Arial"/>
                <w:sz w:val="21"/>
              </w:rPr>
            </w:pPr>
          </w:p>
        </w:tc>
      </w:tr>
      <w:tr w14:paraId="4C30C0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4AA8B34">
            <w:pPr>
              <w:spacing w:before="235" w:line="219" w:lineRule="auto"/>
              <w:ind w:left="2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锡林郭勒盟财政局办公室</w:t>
            </w:r>
          </w:p>
        </w:tc>
        <w:tc>
          <w:tcPr>
            <w:tcW w:w="380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42E479F">
            <w:pPr>
              <w:spacing w:before="256" w:line="212" w:lineRule="auto"/>
              <w:ind w:left="8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2024年12月31日印发</w:t>
            </w:r>
          </w:p>
        </w:tc>
      </w:tr>
    </w:tbl>
    <w:p w14:paraId="37C5AD1E">
      <w:pPr>
        <w:rPr>
          <w:rFonts w:ascii="Arial"/>
          <w:sz w:val="21"/>
        </w:rPr>
      </w:pPr>
    </w:p>
    <w:p w14:paraId="48652B0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509" w:bottom="2018" w:left="1480" w:header="0" w:footer="1780" w:gutter="0"/>
          <w:cols w:space="720" w:num="1"/>
        </w:sectPr>
      </w:pPr>
    </w:p>
    <w:p w14:paraId="56113294">
      <w:pPr>
        <w:spacing w:before="221" w:line="224" w:lineRule="auto"/>
        <w:ind w:left="59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附件</w:t>
      </w:r>
    </w:p>
    <w:p w14:paraId="32FABB33">
      <w:pPr>
        <w:spacing w:before="90" w:line="219" w:lineRule="auto"/>
        <w:ind w:left="28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提前下达2025年自治区衔接资金分配表</w:t>
      </w:r>
    </w:p>
    <w:p w14:paraId="037CB8C4">
      <w:pPr>
        <w:spacing w:before="197" w:line="220" w:lineRule="auto"/>
        <w:ind w:left="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205E5DE2">
      <w:pPr>
        <w:spacing w:line="43" w:lineRule="exact"/>
      </w:pPr>
    </w:p>
    <w:tbl>
      <w:tblPr>
        <w:tblStyle w:val="5"/>
        <w:tblW w:w="12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1909"/>
        <w:gridCol w:w="2178"/>
        <w:gridCol w:w="2418"/>
        <w:gridCol w:w="2149"/>
        <w:gridCol w:w="1983"/>
      </w:tblGrid>
      <w:tr w14:paraId="55D70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333" w:type="dxa"/>
            <w:vMerge w:val="restart"/>
            <w:tcBorders>
              <w:bottom w:val="nil"/>
            </w:tcBorders>
            <w:vAlign w:val="top"/>
          </w:tcPr>
          <w:p w14:paraId="4B768EB2">
            <w:pPr>
              <w:spacing w:line="264" w:lineRule="auto"/>
              <w:rPr>
                <w:rFonts w:ascii="Arial"/>
                <w:sz w:val="21"/>
              </w:rPr>
            </w:pPr>
          </w:p>
          <w:p w14:paraId="61B90676">
            <w:pPr>
              <w:spacing w:line="265" w:lineRule="auto"/>
              <w:rPr>
                <w:rFonts w:ascii="Arial"/>
                <w:sz w:val="21"/>
              </w:rPr>
            </w:pPr>
          </w:p>
          <w:p w14:paraId="476E516D">
            <w:pPr>
              <w:pStyle w:val="6"/>
              <w:spacing w:before="75" w:line="224" w:lineRule="auto"/>
              <w:ind w:left="928"/>
            </w:pPr>
            <w:r>
              <w:rPr>
                <w:b/>
                <w:bCs/>
                <w:spacing w:val="4"/>
              </w:rPr>
              <w:t>地区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4A400924">
            <w:pPr>
              <w:spacing w:line="263" w:lineRule="auto"/>
              <w:rPr>
                <w:rFonts w:ascii="Arial"/>
                <w:sz w:val="21"/>
              </w:rPr>
            </w:pPr>
          </w:p>
          <w:p w14:paraId="64B70530">
            <w:pPr>
              <w:spacing w:line="264" w:lineRule="auto"/>
              <w:rPr>
                <w:rFonts w:ascii="Arial"/>
                <w:sz w:val="21"/>
              </w:rPr>
            </w:pPr>
          </w:p>
          <w:p w14:paraId="75CE26EE">
            <w:pPr>
              <w:pStyle w:val="6"/>
              <w:spacing w:before="75" w:line="221" w:lineRule="auto"/>
              <w:ind w:left="712"/>
            </w:pPr>
            <w:r>
              <w:rPr>
                <w:spacing w:val="-3"/>
              </w:rPr>
              <w:t>合计</w:t>
            </w:r>
          </w:p>
        </w:tc>
        <w:tc>
          <w:tcPr>
            <w:tcW w:w="4596" w:type="dxa"/>
            <w:gridSpan w:val="2"/>
            <w:vAlign w:val="top"/>
          </w:tcPr>
          <w:p w14:paraId="38E371F1">
            <w:pPr>
              <w:pStyle w:val="6"/>
              <w:spacing w:before="152" w:line="219" w:lineRule="auto"/>
              <w:ind w:left="393"/>
            </w:pPr>
            <w:r>
              <w:t>巩固拓展脱贫攻坚成果和乡村振兴任务</w:t>
            </w:r>
          </w:p>
        </w:tc>
        <w:tc>
          <w:tcPr>
            <w:tcW w:w="2149" w:type="dxa"/>
            <w:vMerge w:val="restart"/>
            <w:tcBorders>
              <w:bottom w:val="nil"/>
            </w:tcBorders>
            <w:vAlign w:val="top"/>
          </w:tcPr>
          <w:p w14:paraId="6E69EC59">
            <w:pPr>
              <w:spacing w:line="406" w:lineRule="auto"/>
              <w:rPr>
                <w:rFonts w:ascii="Arial"/>
                <w:sz w:val="21"/>
              </w:rPr>
            </w:pPr>
          </w:p>
          <w:p w14:paraId="6D4B2AD6">
            <w:pPr>
              <w:pStyle w:val="6"/>
              <w:spacing w:before="75" w:line="210" w:lineRule="auto"/>
              <w:ind w:left="956" w:right="22" w:hanging="919"/>
            </w:pPr>
            <w:r>
              <w:rPr>
                <w:spacing w:val="1"/>
              </w:rPr>
              <w:t>易地搬迁后续帮扶任</w:t>
            </w:r>
            <w:r>
              <w:t xml:space="preserve"> 务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7DA6F895">
            <w:pPr>
              <w:spacing w:line="396" w:lineRule="auto"/>
              <w:rPr>
                <w:rFonts w:ascii="Arial"/>
                <w:sz w:val="21"/>
              </w:rPr>
            </w:pPr>
          </w:p>
          <w:p w14:paraId="7475EE30">
            <w:pPr>
              <w:pStyle w:val="6"/>
              <w:spacing w:before="75" w:line="210" w:lineRule="auto"/>
              <w:ind w:left="528" w:right="514"/>
            </w:pPr>
            <w:r>
              <w:rPr>
                <w:spacing w:val="-3"/>
              </w:rPr>
              <w:t>少数民族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发展任务</w:t>
            </w:r>
          </w:p>
        </w:tc>
      </w:tr>
      <w:tr w14:paraId="325B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333" w:type="dxa"/>
            <w:vMerge w:val="continue"/>
            <w:tcBorders>
              <w:top w:val="nil"/>
            </w:tcBorders>
            <w:vAlign w:val="top"/>
          </w:tcPr>
          <w:p w14:paraId="6C983425"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1AFB701E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0A42CF03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78FAD7C3">
            <w:pPr>
              <w:pStyle w:val="6"/>
              <w:spacing w:before="189" w:line="215" w:lineRule="auto"/>
              <w:ind w:left="65" w:right="62" w:hanging="10"/>
            </w:pPr>
            <w:r>
              <w:rPr>
                <w:spacing w:val="-1"/>
              </w:rPr>
              <w:t>其中：发展新型农村集</w:t>
            </w:r>
            <w:r>
              <w:t xml:space="preserve"> </w:t>
            </w:r>
            <w:r>
              <w:rPr>
                <w:spacing w:val="-2"/>
              </w:rPr>
              <w:t>体经济</w:t>
            </w:r>
          </w:p>
        </w:tc>
        <w:tc>
          <w:tcPr>
            <w:tcW w:w="2149" w:type="dxa"/>
            <w:vMerge w:val="continue"/>
            <w:tcBorders>
              <w:top w:val="nil"/>
            </w:tcBorders>
            <w:vAlign w:val="top"/>
          </w:tcPr>
          <w:p w14:paraId="1E357A88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1985168F">
            <w:pPr>
              <w:rPr>
                <w:rFonts w:ascii="Arial"/>
                <w:sz w:val="21"/>
              </w:rPr>
            </w:pPr>
          </w:p>
        </w:tc>
      </w:tr>
      <w:tr w14:paraId="67E3A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3" w:type="dxa"/>
            <w:vAlign w:val="top"/>
          </w:tcPr>
          <w:p w14:paraId="678947DA">
            <w:pPr>
              <w:pStyle w:val="6"/>
              <w:spacing w:before="69" w:line="221" w:lineRule="auto"/>
              <w:ind w:left="928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1909" w:type="dxa"/>
            <w:vAlign w:val="top"/>
          </w:tcPr>
          <w:p w14:paraId="1385ADBE">
            <w:pPr>
              <w:pStyle w:val="6"/>
              <w:spacing w:before="129" w:line="176" w:lineRule="auto"/>
              <w:ind w:left="652"/>
            </w:pPr>
            <w:r>
              <w:rPr>
                <w:spacing w:val="-2"/>
              </w:rPr>
              <w:t>25421</w:t>
            </w:r>
          </w:p>
        </w:tc>
        <w:tc>
          <w:tcPr>
            <w:tcW w:w="2178" w:type="dxa"/>
            <w:vAlign w:val="top"/>
          </w:tcPr>
          <w:p w14:paraId="76A90128">
            <w:pPr>
              <w:pStyle w:val="6"/>
              <w:spacing w:before="130" w:line="175" w:lineRule="auto"/>
              <w:ind w:left="793"/>
            </w:pPr>
            <w:r>
              <w:rPr>
                <w:spacing w:val="-2"/>
              </w:rPr>
              <w:t>24629</w:t>
            </w:r>
          </w:p>
        </w:tc>
        <w:tc>
          <w:tcPr>
            <w:tcW w:w="2418" w:type="dxa"/>
            <w:vAlign w:val="top"/>
          </w:tcPr>
          <w:p w14:paraId="4B948579">
            <w:pPr>
              <w:pStyle w:val="6"/>
              <w:spacing w:before="130" w:line="175" w:lineRule="auto"/>
              <w:ind w:left="1025"/>
            </w:pPr>
            <w:r>
              <w:rPr>
                <w:spacing w:val="-4"/>
              </w:rPr>
              <w:t>750</w:t>
            </w:r>
          </w:p>
        </w:tc>
        <w:tc>
          <w:tcPr>
            <w:tcW w:w="2149" w:type="dxa"/>
            <w:vAlign w:val="top"/>
          </w:tcPr>
          <w:p w14:paraId="6AC1B6C2">
            <w:pPr>
              <w:pStyle w:val="6"/>
              <w:spacing w:before="130" w:line="175" w:lineRule="auto"/>
              <w:ind w:left="897"/>
            </w:pPr>
            <w:r>
              <w:rPr>
                <w:spacing w:val="-3"/>
              </w:rPr>
              <w:t>205</w:t>
            </w:r>
          </w:p>
        </w:tc>
        <w:tc>
          <w:tcPr>
            <w:tcW w:w="1983" w:type="dxa"/>
            <w:vAlign w:val="top"/>
          </w:tcPr>
          <w:p w14:paraId="44CFB3F4">
            <w:pPr>
              <w:pStyle w:val="6"/>
              <w:spacing w:before="130" w:line="175" w:lineRule="auto"/>
              <w:ind w:left="808"/>
            </w:pPr>
            <w:r>
              <w:rPr>
                <w:spacing w:val="-4"/>
              </w:rPr>
              <w:t>587</w:t>
            </w:r>
          </w:p>
        </w:tc>
      </w:tr>
      <w:tr w14:paraId="005D1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33" w:type="dxa"/>
            <w:vAlign w:val="top"/>
          </w:tcPr>
          <w:p w14:paraId="6DEF1AC9">
            <w:pPr>
              <w:pStyle w:val="6"/>
              <w:spacing w:before="82" w:line="219" w:lineRule="auto"/>
              <w:ind w:left="585"/>
            </w:pPr>
            <w:r>
              <w:rPr>
                <w:spacing w:val="2"/>
              </w:rPr>
              <w:t>锡林浩特市</w:t>
            </w:r>
          </w:p>
        </w:tc>
        <w:tc>
          <w:tcPr>
            <w:tcW w:w="1909" w:type="dxa"/>
            <w:vAlign w:val="top"/>
          </w:tcPr>
          <w:p w14:paraId="257BA802">
            <w:pPr>
              <w:pStyle w:val="6"/>
              <w:spacing w:before="140" w:line="184" w:lineRule="auto"/>
              <w:ind w:left="712"/>
            </w:pPr>
            <w:r>
              <w:rPr>
                <w:spacing w:val="-5"/>
              </w:rPr>
              <w:t>1664</w:t>
            </w:r>
          </w:p>
        </w:tc>
        <w:tc>
          <w:tcPr>
            <w:tcW w:w="2178" w:type="dxa"/>
            <w:vAlign w:val="top"/>
          </w:tcPr>
          <w:p w14:paraId="6880C7C5">
            <w:pPr>
              <w:pStyle w:val="6"/>
              <w:spacing w:before="140" w:line="184" w:lineRule="auto"/>
              <w:ind w:left="852"/>
            </w:pPr>
            <w:r>
              <w:rPr>
                <w:spacing w:val="-5"/>
              </w:rPr>
              <w:t>1640</w:t>
            </w:r>
          </w:p>
        </w:tc>
        <w:tc>
          <w:tcPr>
            <w:tcW w:w="2418" w:type="dxa"/>
            <w:vAlign w:val="top"/>
          </w:tcPr>
          <w:p w14:paraId="7D6E2283">
            <w:pPr>
              <w:pStyle w:val="6"/>
              <w:spacing w:before="141" w:line="183" w:lineRule="auto"/>
              <w:ind w:left="1085"/>
            </w:pPr>
            <w:r>
              <w:rPr>
                <w:spacing w:val="-4"/>
              </w:rPr>
              <w:t>30</w:t>
            </w:r>
          </w:p>
        </w:tc>
        <w:tc>
          <w:tcPr>
            <w:tcW w:w="2149" w:type="dxa"/>
            <w:vAlign w:val="top"/>
          </w:tcPr>
          <w:p w14:paraId="1A30A5F6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5DF6F440">
            <w:pPr>
              <w:pStyle w:val="6"/>
              <w:spacing w:before="141" w:line="183" w:lineRule="auto"/>
              <w:ind w:left="868"/>
            </w:pPr>
            <w:r>
              <w:rPr>
                <w:spacing w:val="-3"/>
              </w:rPr>
              <w:t>24</w:t>
            </w:r>
          </w:p>
        </w:tc>
      </w:tr>
      <w:tr w14:paraId="6BDD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33" w:type="dxa"/>
            <w:vAlign w:val="top"/>
          </w:tcPr>
          <w:p w14:paraId="6612C782">
            <w:pPr>
              <w:pStyle w:val="6"/>
              <w:spacing w:before="63" w:line="221" w:lineRule="auto"/>
              <w:ind w:left="695"/>
            </w:pPr>
            <w:r>
              <w:rPr>
                <w:spacing w:val="2"/>
              </w:rPr>
              <w:t>阿巴嘎旗</w:t>
            </w:r>
          </w:p>
        </w:tc>
        <w:tc>
          <w:tcPr>
            <w:tcW w:w="1909" w:type="dxa"/>
            <w:vAlign w:val="top"/>
          </w:tcPr>
          <w:p w14:paraId="3565069D">
            <w:pPr>
              <w:pStyle w:val="6"/>
              <w:spacing w:before="120" w:line="176" w:lineRule="auto"/>
              <w:ind w:left="712"/>
            </w:pPr>
            <w:r>
              <w:rPr>
                <w:spacing w:val="-5"/>
              </w:rPr>
              <w:t>1586</w:t>
            </w:r>
          </w:p>
        </w:tc>
        <w:tc>
          <w:tcPr>
            <w:tcW w:w="2178" w:type="dxa"/>
            <w:vAlign w:val="top"/>
          </w:tcPr>
          <w:p w14:paraId="76A75CCC">
            <w:pPr>
              <w:pStyle w:val="6"/>
              <w:spacing w:before="120" w:line="176" w:lineRule="auto"/>
              <w:ind w:left="852"/>
            </w:pPr>
            <w:r>
              <w:rPr>
                <w:spacing w:val="-5"/>
              </w:rPr>
              <w:t>1506</w:t>
            </w:r>
          </w:p>
        </w:tc>
        <w:tc>
          <w:tcPr>
            <w:tcW w:w="2418" w:type="dxa"/>
            <w:vAlign w:val="top"/>
          </w:tcPr>
          <w:p w14:paraId="4BEFF705">
            <w:pPr>
              <w:pStyle w:val="6"/>
              <w:spacing w:before="121" w:line="175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53D41AAF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9A0789C">
            <w:pPr>
              <w:pStyle w:val="6"/>
              <w:spacing w:before="121" w:line="175" w:lineRule="auto"/>
              <w:ind w:left="868"/>
            </w:pPr>
            <w:r>
              <w:rPr>
                <w:spacing w:val="-3"/>
              </w:rPr>
              <w:t>80</w:t>
            </w:r>
          </w:p>
        </w:tc>
      </w:tr>
      <w:tr w14:paraId="7A105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33" w:type="dxa"/>
            <w:vAlign w:val="top"/>
          </w:tcPr>
          <w:p w14:paraId="66EB4D9A">
            <w:pPr>
              <w:pStyle w:val="6"/>
              <w:spacing w:before="82" w:line="219" w:lineRule="auto"/>
              <w:ind w:left="585"/>
            </w:pPr>
            <w:r>
              <w:rPr>
                <w:spacing w:val="1"/>
              </w:rPr>
              <w:t>苏尼特左旗</w:t>
            </w:r>
          </w:p>
        </w:tc>
        <w:tc>
          <w:tcPr>
            <w:tcW w:w="1909" w:type="dxa"/>
            <w:vAlign w:val="top"/>
          </w:tcPr>
          <w:p w14:paraId="00E8866B">
            <w:pPr>
              <w:pStyle w:val="6"/>
              <w:spacing w:before="142" w:line="182" w:lineRule="auto"/>
              <w:ind w:left="712"/>
            </w:pPr>
            <w:r>
              <w:rPr>
                <w:spacing w:val="-3"/>
              </w:rPr>
              <w:t>2553</w:t>
            </w:r>
          </w:p>
        </w:tc>
        <w:tc>
          <w:tcPr>
            <w:tcW w:w="2178" w:type="dxa"/>
            <w:vAlign w:val="top"/>
          </w:tcPr>
          <w:p w14:paraId="2E45B7C9">
            <w:pPr>
              <w:pStyle w:val="6"/>
              <w:spacing w:before="141" w:line="183" w:lineRule="auto"/>
              <w:ind w:left="852"/>
            </w:pPr>
            <w:r>
              <w:rPr>
                <w:spacing w:val="-3"/>
              </w:rPr>
              <w:t>2461</w:t>
            </w:r>
          </w:p>
        </w:tc>
        <w:tc>
          <w:tcPr>
            <w:tcW w:w="2418" w:type="dxa"/>
            <w:vAlign w:val="top"/>
          </w:tcPr>
          <w:p w14:paraId="4B931CB7">
            <w:pPr>
              <w:pStyle w:val="6"/>
              <w:spacing w:before="142" w:line="182" w:lineRule="auto"/>
              <w:ind w:left="1085"/>
            </w:pPr>
            <w:r>
              <w:rPr>
                <w:spacing w:val="-4"/>
              </w:rPr>
              <w:t>30</w:t>
            </w:r>
          </w:p>
        </w:tc>
        <w:tc>
          <w:tcPr>
            <w:tcW w:w="2149" w:type="dxa"/>
            <w:vAlign w:val="top"/>
          </w:tcPr>
          <w:p w14:paraId="156BDBBB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6A9ED9B">
            <w:pPr>
              <w:pStyle w:val="6"/>
              <w:spacing w:before="142" w:line="182" w:lineRule="auto"/>
              <w:ind w:left="868"/>
            </w:pPr>
            <w:r>
              <w:rPr>
                <w:spacing w:val="-3"/>
              </w:rPr>
              <w:t>92</w:t>
            </w:r>
          </w:p>
        </w:tc>
      </w:tr>
      <w:tr w14:paraId="5E2E4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3" w:type="dxa"/>
            <w:vAlign w:val="top"/>
          </w:tcPr>
          <w:p w14:paraId="1D9C586B">
            <w:pPr>
              <w:pStyle w:val="6"/>
              <w:spacing w:before="73" w:line="219" w:lineRule="auto"/>
              <w:ind w:left="585"/>
            </w:pPr>
            <w:r>
              <w:rPr>
                <w:spacing w:val="1"/>
              </w:rPr>
              <w:t>苏尼特右旗</w:t>
            </w:r>
          </w:p>
        </w:tc>
        <w:tc>
          <w:tcPr>
            <w:tcW w:w="1909" w:type="dxa"/>
            <w:vAlign w:val="top"/>
          </w:tcPr>
          <w:p w14:paraId="612A6EA9">
            <w:pPr>
              <w:pStyle w:val="6"/>
              <w:spacing w:before="132" w:line="174" w:lineRule="auto"/>
              <w:ind w:left="712"/>
            </w:pPr>
            <w:r>
              <w:rPr>
                <w:spacing w:val="-3"/>
              </w:rPr>
              <w:t>2179</w:t>
            </w:r>
          </w:p>
        </w:tc>
        <w:tc>
          <w:tcPr>
            <w:tcW w:w="2178" w:type="dxa"/>
            <w:vAlign w:val="top"/>
          </w:tcPr>
          <w:p w14:paraId="6187F700">
            <w:pPr>
              <w:pStyle w:val="6"/>
              <w:spacing w:before="132" w:line="174" w:lineRule="auto"/>
              <w:ind w:left="852"/>
            </w:pPr>
            <w:r>
              <w:rPr>
                <w:spacing w:val="-3"/>
              </w:rPr>
              <w:t>2083</w:t>
            </w:r>
          </w:p>
        </w:tc>
        <w:tc>
          <w:tcPr>
            <w:tcW w:w="2418" w:type="dxa"/>
            <w:vAlign w:val="top"/>
          </w:tcPr>
          <w:p w14:paraId="0DA6549E">
            <w:pPr>
              <w:pStyle w:val="6"/>
              <w:spacing w:before="132" w:line="174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0DF18653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09F40A8B">
            <w:pPr>
              <w:pStyle w:val="6"/>
              <w:spacing w:before="132" w:line="174" w:lineRule="auto"/>
              <w:ind w:left="868"/>
            </w:pPr>
            <w:r>
              <w:rPr>
                <w:spacing w:val="-3"/>
              </w:rPr>
              <w:t>96</w:t>
            </w:r>
          </w:p>
        </w:tc>
      </w:tr>
      <w:tr w14:paraId="6F10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3" w:type="dxa"/>
            <w:vAlign w:val="top"/>
          </w:tcPr>
          <w:p w14:paraId="3168CD59">
            <w:pPr>
              <w:pStyle w:val="6"/>
              <w:spacing w:before="74" w:line="219" w:lineRule="auto"/>
              <w:ind w:left="465"/>
            </w:pPr>
            <w:r>
              <w:rPr>
                <w:spacing w:val="1"/>
              </w:rPr>
              <w:t>东乌珠穆沁旗</w:t>
            </w:r>
          </w:p>
        </w:tc>
        <w:tc>
          <w:tcPr>
            <w:tcW w:w="1909" w:type="dxa"/>
            <w:vAlign w:val="top"/>
          </w:tcPr>
          <w:p w14:paraId="1932855B">
            <w:pPr>
              <w:pStyle w:val="6"/>
              <w:spacing w:before="133" w:line="174" w:lineRule="auto"/>
              <w:ind w:left="712"/>
            </w:pPr>
            <w:r>
              <w:rPr>
                <w:spacing w:val="-5"/>
              </w:rPr>
              <w:t>1557</w:t>
            </w:r>
          </w:p>
        </w:tc>
        <w:tc>
          <w:tcPr>
            <w:tcW w:w="2178" w:type="dxa"/>
            <w:vAlign w:val="top"/>
          </w:tcPr>
          <w:p w14:paraId="7A480929">
            <w:pPr>
              <w:pStyle w:val="6"/>
              <w:spacing w:before="133" w:line="174" w:lineRule="auto"/>
              <w:ind w:left="852"/>
            </w:pPr>
            <w:r>
              <w:rPr>
                <w:spacing w:val="-5"/>
              </w:rPr>
              <w:t>1458</w:t>
            </w:r>
          </w:p>
        </w:tc>
        <w:tc>
          <w:tcPr>
            <w:tcW w:w="2418" w:type="dxa"/>
            <w:vAlign w:val="top"/>
          </w:tcPr>
          <w:p w14:paraId="54397A09">
            <w:pPr>
              <w:pStyle w:val="6"/>
              <w:spacing w:before="133" w:line="174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2A2D7E6C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786FC1D3">
            <w:pPr>
              <w:pStyle w:val="6"/>
              <w:spacing w:before="133" w:line="174" w:lineRule="auto"/>
              <w:ind w:left="868"/>
            </w:pPr>
            <w:r>
              <w:rPr>
                <w:spacing w:val="-3"/>
              </w:rPr>
              <w:t>99</w:t>
            </w:r>
          </w:p>
        </w:tc>
      </w:tr>
      <w:tr w14:paraId="5055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33" w:type="dxa"/>
            <w:vAlign w:val="top"/>
          </w:tcPr>
          <w:p w14:paraId="701168BD">
            <w:pPr>
              <w:pStyle w:val="6"/>
              <w:spacing w:before="75" w:line="220" w:lineRule="auto"/>
              <w:ind w:left="465"/>
            </w:pPr>
            <w:r>
              <w:rPr>
                <w:spacing w:val="1"/>
              </w:rPr>
              <w:t>西乌珠穆沁旗</w:t>
            </w:r>
          </w:p>
        </w:tc>
        <w:tc>
          <w:tcPr>
            <w:tcW w:w="1909" w:type="dxa"/>
            <w:vAlign w:val="top"/>
          </w:tcPr>
          <w:p w14:paraId="5C132696">
            <w:pPr>
              <w:pStyle w:val="6"/>
              <w:spacing w:before="133" w:line="181" w:lineRule="auto"/>
              <w:ind w:left="772"/>
            </w:pPr>
            <w:r>
              <w:rPr>
                <w:spacing w:val="-6"/>
              </w:rPr>
              <w:t>112</w:t>
            </w:r>
          </w:p>
        </w:tc>
        <w:tc>
          <w:tcPr>
            <w:tcW w:w="2178" w:type="dxa"/>
            <w:vAlign w:val="top"/>
          </w:tcPr>
          <w:p w14:paraId="3AB08E2B">
            <w:pPr>
              <w:pStyle w:val="6"/>
              <w:spacing w:before="133" w:line="181" w:lineRule="auto"/>
              <w:ind w:left="963"/>
            </w:pPr>
            <w:r>
              <w:rPr>
                <w:spacing w:val="-3"/>
              </w:rPr>
              <w:t>90</w:t>
            </w:r>
          </w:p>
        </w:tc>
        <w:tc>
          <w:tcPr>
            <w:tcW w:w="2418" w:type="dxa"/>
            <w:vAlign w:val="top"/>
          </w:tcPr>
          <w:p w14:paraId="554E09AC">
            <w:pPr>
              <w:pStyle w:val="6"/>
              <w:spacing w:before="133" w:line="181" w:lineRule="auto"/>
              <w:ind w:left="1085"/>
            </w:pPr>
            <w:r>
              <w:rPr>
                <w:spacing w:val="-3"/>
              </w:rPr>
              <w:t>90</w:t>
            </w:r>
          </w:p>
        </w:tc>
        <w:tc>
          <w:tcPr>
            <w:tcW w:w="2149" w:type="dxa"/>
            <w:vAlign w:val="top"/>
          </w:tcPr>
          <w:p w14:paraId="5508DEB2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5399F951">
            <w:pPr>
              <w:pStyle w:val="6"/>
              <w:spacing w:before="133" w:line="181" w:lineRule="auto"/>
              <w:ind w:left="868"/>
            </w:pPr>
            <w:r>
              <w:rPr>
                <w:spacing w:val="-3"/>
              </w:rPr>
              <w:t>22</w:t>
            </w:r>
          </w:p>
        </w:tc>
      </w:tr>
      <w:tr w14:paraId="3C99B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33" w:type="dxa"/>
            <w:vAlign w:val="top"/>
          </w:tcPr>
          <w:p w14:paraId="07CAC5D7">
            <w:pPr>
              <w:pStyle w:val="6"/>
              <w:spacing w:before="75" w:line="219" w:lineRule="auto"/>
              <w:ind w:left="695"/>
            </w:pPr>
            <w:r>
              <w:rPr>
                <w:spacing w:val="-2"/>
              </w:rPr>
              <w:t>太仆寺旗</w:t>
            </w:r>
          </w:p>
        </w:tc>
        <w:tc>
          <w:tcPr>
            <w:tcW w:w="1909" w:type="dxa"/>
            <w:vAlign w:val="top"/>
          </w:tcPr>
          <w:p w14:paraId="0F794771">
            <w:pPr>
              <w:pStyle w:val="6"/>
              <w:spacing w:before="133" w:line="173" w:lineRule="auto"/>
              <w:ind w:left="712"/>
            </w:pPr>
            <w:r>
              <w:rPr>
                <w:spacing w:val="-2"/>
              </w:rPr>
              <w:t>4151</w:t>
            </w:r>
          </w:p>
        </w:tc>
        <w:tc>
          <w:tcPr>
            <w:tcW w:w="2178" w:type="dxa"/>
            <w:vAlign w:val="top"/>
          </w:tcPr>
          <w:p w14:paraId="6DAD6597">
            <w:pPr>
              <w:pStyle w:val="6"/>
              <w:spacing w:before="133" w:line="173" w:lineRule="auto"/>
              <w:ind w:left="852"/>
            </w:pPr>
            <w:r>
              <w:rPr>
                <w:spacing w:val="-2"/>
              </w:rPr>
              <w:t>4121</w:t>
            </w:r>
          </w:p>
        </w:tc>
        <w:tc>
          <w:tcPr>
            <w:tcW w:w="2418" w:type="dxa"/>
            <w:vAlign w:val="top"/>
          </w:tcPr>
          <w:p w14:paraId="21FAB95D">
            <w:pPr>
              <w:pStyle w:val="6"/>
              <w:spacing w:before="133" w:line="173" w:lineRule="auto"/>
              <w:ind w:left="1025"/>
            </w:pPr>
            <w:r>
              <w:rPr>
                <w:spacing w:val="-6"/>
              </w:rPr>
              <w:t>150</w:t>
            </w:r>
          </w:p>
        </w:tc>
        <w:tc>
          <w:tcPr>
            <w:tcW w:w="2149" w:type="dxa"/>
            <w:vAlign w:val="top"/>
          </w:tcPr>
          <w:p w14:paraId="1FFED0D0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604CB9C">
            <w:pPr>
              <w:pStyle w:val="6"/>
              <w:spacing w:before="134" w:line="172" w:lineRule="auto"/>
              <w:ind w:left="868"/>
            </w:pPr>
            <w:r>
              <w:rPr>
                <w:spacing w:val="-4"/>
              </w:rPr>
              <w:t>30</w:t>
            </w:r>
          </w:p>
        </w:tc>
      </w:tr>
      <w:tr w14:paraId="7836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33" w:type="dxa"/>
            <w:vAlign w:val="top"/>
          </w:tcPr>
          <w:p w14:paraId="65F18A4B">
            <w:pPr>
              <w:pStyle w:val="6"/>
              <w:spacing w:before="86" w:line="219" w:lineRule="auto"/>
              <w:ind w:left="815"/>
            </w:pPr>
            <w:r>
              <w:rPr>
                <w:spacing w:val="-2"/>
              </w:rPr>
              <w:t>镶黄旗</w:t>
            </w:r>
          </w:p>
        </w:tc>
        <w:tc>
          <w:tcPr>
            <w:tcW w:w="1909" w:type="dxa"/>
            <w:vAlign w:val="top"/>
          </w:tcPr>
          <w:p w14:paraId="7F6BE2FB">
            <w:pPr>
              <w:pStyle w:val="6"/>
              <w:spacing w:before="144" w:line="180" w:lineRule="auto"/>
              <w:ind w:left="712"/>
            </w:pPr>
            <w:r>
              <w:rPr>
                <w:spacing w:val="-3"/>
              </w:rPr>
              <w:t>3147</w:t>
            </w:r>
          </w:p>
        </w:tc>
        <w:tc>
          <w:tcPr>
            <w:tcW w:w="2178" w:type="dxa"/>
            <w:vAlign w:val="top"/>
          </w:tcPr>
          <w:p w14:paraId="584F3651">
            <w:pPr>
              <w:pStyle w:val="6"/>
              <w:spacing w:before="145" w:line="179" w:lineRule="auto"/>
              <w:ind w:left="852"/>
            </w:pPr>
            <w:r>
              <w:rPr>
                <w:spacing w:val="-3"/>
              </w:rPr>
              <w:t>2922</w:t>
            </w:r>
          </w:p>
        </w:tc>
        <w:tc>
          <w:tcPr>
            <w:tcW w:w="2418" w:type="dxa"/>
            <w:vAlign w:val="top"/>
          </w:tcPr>
          <w:p w14:paraId="03FED972">
            <w:pPr>
              <w:pStyle w:val="6"/>
              <w:spacing w:before="145" w:line="179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589593E0">
            <w:pPr>
              <w:pStyle w:val="6"/>
              <w:spacing w:before="145" w:line="179" w:lineRule="auto"/>
              <w:ind w:left="897"/>
            </w:pPr>
            <w:r>
              <w:rPr>
                <w:spacing w:val="-3"/>
              </w:rPr>
              <w:t>205</w:t>
            </w:r>
          </w:p>
        </w:tc>
        <w:tc>
          <w:tcPr>
            <w:tcW w:w="1983" w:type="dxa"/>
            <w:vAlign w:val="top"/>
          </w:tcPr>
          <w:p w14:paraId="21173D2A">
            <w:pPr>
              <w:pStyle w:val="6"/>
              <w:spacing w:before="145" w:line="179" w:lineRule="auto"/>
              <w:ind w:left="868"/>
            </w:pPr>
            <w:r>
              <w:rPr>
                <w:spacing w:val="-3"/>
              </w:rPr>
              <w:t>20</w:t>
            </w:r>
          </w:p>
        </w:tc>
      </w:tr>
      <w:tr w14:paraId="564C8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3" w:type="dxa"/>
            <w:vAlign w:val="top"/>
          </w:tcPr>
          <w:p w14:paraId="18466849">
            <w:pPr>
              <w:pStyle w:val="6"/>
              <w:spacing w:before="78" w:line="218" w:lineRule="auto"/>
              <w:ind w:left="695"/>
            </w:pPr>
            <w:r>
              <w:rPr>
                <w:spacing w:val="2"/>
              </w:rPr>
              <w:t>正镶白旗</w:t>
            </w:r>
          </w:p>
        </w:tc>
        <w:tc>
          <w:tcPr>
            <w:tcW w:w="1909" w:type="dxa"/>
            <w:vAlign w:val="top"/>
          </w:tcPr>
          <w:p w14:paraId="6AA11442">
            <w:pPr>
              <w:pStyle w:val="6"/>
              <w:spacing w:before="136" w:line="171" w:lineRule="auto"/>
              <w:ind w:left="712"/>
            </w:pPr>
            <w:r>
              <w:rPr>
                <w:spacing w:val="-3"/>
              </w:rPr>
              <w:t>3462</w:t>
            </w:r>
          </w:p>
        </w:tc>
        <w:tc>
          <w:tcPr>
            <w:tcW w:w="2178" w:type="dxa"/>
            <w:vAlign w:val="top"/>
          </w:tcPr>
          <w:p w14:paraId="66D3810F">
            <w:pPr>
              <w:pStyle w:val="6"/>
              <w:spacing w:before="136" w:line="171" w:lineRule="auto"/>
              <w:ind w:left="852"/>
            </w:pPr>
            <w:r>
              <w:rPr>
                <w:spacing w:val="-3"/>
              </w:rPr>
              <w:t>3397</w:t>
            </w:r>
          </w:p>
        </w:tc>
        <w:tc>
          <w:tcPr>
            <w:tcW w:w="2418" w:type="dxa"/>
            <w:vAlign w:val="top"/>
          </w:tcPr>
          <w:p w14:paraId="1E91E7EE">
            <w:pPr>
              <w:pStyle w:val="6"/>
              <w:spacing w:before="136" w:line="171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569BA215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721F43A7">
            <w:pPr>
              <w:pStyle w:val="6"/>
              <w:spacing w:before="136" w:line="171" w:lineRule="auto"/>
              <w:ind w:left="868"/>
            </w:pPr>
            <w:r>
              <w:rPr>
                <w:spacing w:val="-3"/>
              </w:rPr>
              <w:t>65</w:t>
            </w:r>
          </w:p>
        </w:tc>
      </w:tr>
      <w:tr w14:paraId="6DD2E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33" w:type="dxa"/>
            <w:vAlign w:val="top"/>
          </w:tcPr>
          <w:p w14:paraId="7CE22112">
            <w:pPr>
              <w:pStyle w:val="6"/>
              <w:spacing w:before="78" w:line="221" w:lineRule="auto"/>
              <w:ind w:left="815"/>
            </w:pPr>
            <w:r>
              <w:rPr>
                <w:spacing w:val="2"/>
              </w:rPr>
              <w:t>正蓝旗</w:t>
            </w:r>
          </w:p>
        </w:tc>
        <w:tc>
          <w:tcPr>
            <w:tcW w:w="1909" w:type="dxa"/>
            <w:vAlign w:val="top"/>
          </w:tcPr>
          <w:p w14:paraId="62D63F69">
            <w:pPr>
              <w:pStyle w:val="6"/>
              <w:spacing w:before="135" w:line="179" w:lineRule="auto"/>
              <w:ind w:left="712"/>
            </w:pPr>
            <w:r>
              <w:rPr>
                <w:spacing w:val="-5"/>
              </w:rPr>
              <w:t>1105</w:t>
            </w:r>
          </w:p>
        </w:tc>
        <w:tc>
          <w:tcPr>
            <w:tcW w:w="2178" w:type="dxa"/>
            <w:vAlign w:val="top"/>
          </w:tcPr>
          <w:p w14:paraId="13ECF43B">
            <w:pPr>
              <w:pStyle w:val="6"/>
              <w:spacing w:before="135" w:line="179" w:lineRule="auto"/>
              <w:ind w:left="852"/>
            </w:pPr>
            <w:r>
              <w:rPr>
                <w:spacing w:val="-5"/>
              </w:rPr>
              <w:t>1073</w:t>
            </w:r>
          </w:p>
        </w:tc>
        <w:tc>
          <w:tcPr>
            <w:tcW w:w="2418" w:type="dxa"/>
            <w:vAlign w:val="top"/>
          </w:tcPr>
          <w:p w14:paraId="25AA785C">
            <w:pPr>
              <w:pStyle w:val="6"/>
              <w:spacing w:before="137" w:line="178" w:lineRule="auto"/>
              <w:ind w:left="1085"/>
            </w:pPr>
            <w:r>
              <w:rPr>
                <w:spacing w:val="-3"/>
              </w:rPr>
              <w:t>90</w:t>
            </w:r>
          </w:p>
        </w:tc>
        <w:tc>
          <w:tcPr>
            <w:tcW w:w="2149" w:type="dxa"/>
            <w:vAlign w:val="top"/>
          </w:tcPr>
          <w:p w14:paraId="33B4E48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3CDD1993">
            <w:pPr>
              <w:pStyle w:val="6"/>
              <w:spacing w:before="137" w:line="178" w:lineRule="auto"/>
              <w:ind w:left="868"/>
            </w:pPr>
            <w:r>
              <w:rPr>
                <w:spacing w:val="-4"/>
              </w:rPr>
              <w:t>32</w:t>
            </w:r>
          </w:p>
        </w:tc>
      </w:tr>
      <w:tr w14:paraId="107F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333" w:type="dxa"/>
            <w:vAlign w:val="top"/>
          </w:tcPr>
          <w:p w14:paraId="5A8DD492">
            <w:pPr>
              <w:pStyle w:val="6"/>
              <w:spacing w:before="78" w:line="219" w:lineRule="auto"/>
              <w:ind w:left="815"/>
            </w:pPr>
            <w:r>
              <w:rPr>
                <w:spacing w:val="3"/>
              </w:rPr>
              <w:t>多伦县</w:t>
            </w:r>
          </w:p>
        </w:tc>
        <w:tc>
          <w:tcPr>
            <w:tcW w:w="1909" w:type="dxa"/>
            <w:vAlign w:val="top"/>
          </w:tcPr>
          <w:p w14:paraId="7E802BB7">
            <w:pPr>
              <w:pStyle w:val="6"/>
              <w:spacing w:before="137" w:line="174" w:lineRule="auto"/>
              <w:ind w:left="712"/>
            </w:pPr>
            <w:r>
              <w:rPr>
                <w:spacing w:val="-3"/>
              </w:rPr>
              <w:t>3905</w:t>
            </w:r>
          </w:p>
        </w:tc>
        <w:tc>
          <w:tcPr>
            <w:tcW w:w="2178" w:type="dxa"/>
            <w:vAlign w:val="top"/>
          </w:tcPr>
          <w:p w14:paraId="610B2218">
            <w:pPr>
              <w:pStyle w:val="6"/>
              <w:spacing w:before="137" w:line="174" w:lineRule="auto"/>
              <w:ind w:left="852"/>
            </w:pPr>
            <w:r>
              <w:rPr>
                <w:spacing w:val="-3"/>
              </w:rPr>
              <w:t>3878</w:t>
            </w:r>
          </w:p>
        </w:tc>
        <w:tc>
          <w:tcPr>
            <w:tcW w:w="2418" w:type="dxa"/>
            <w:vAlign w:val="top"/>
          </w:tcPr>
          <w:p w14:paraId="1C0D20D8">
            <w:pPr>
              <w:pStyle w:val="6"/>
              <w:spacing w:before="137" w:line="174" w:lineRule="auto"/>
              <w:ind w:left="1085"/>
            </w:pPr>
            <w:r>
              <w:rPr>
                <w:spacing w:val="-3"/>
              </w:rPr>
              <w:t>60</w:t>
            </w:r>
          </w:p>
        </w:tc>
        <w:tc>
          <w:tcPr>
            <w:tcW w:w="2149" w:type="dxa"/>
            <w:vAlign w:val="top"/>
          </w:tcPr>
          <w:p w14:paraId="4DA2FDEB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8C06E9F">
            <w:pPr>
              <w:pStyle w:val="6"/>
              <w:spacing w:before="137" w:line="174" w:lineRule="auto"/>
              <w:ind w:left="868"/>
            </w:pPr>
            <w:r>
              <w:rPr>
                <w:spacing w:val="-3"/>
              </w:rPr>
              <w:t>27</w:t>
            </w:r>
          </w:p>
        </w:tc>
      </w:tr>
    </w:tbl>
    <w:p w14:paraId="6076DB5C">
      <w:pPr>
        <w:rPr>
          <w:rFonts w:ascii="Arial"/>
          <w:sz w:val="21"/>
        </w:rPr>
      </w:pPr>
    </w:p>
    <w:sectPr>
      <w:footerReference r:id="rId9" w:type="default"/>
      <w:pgSz w:w="16840" w:h="11900"/>
      <w:pgMar w:top="1011" w:right="1945" w:bottom="400" w:left="19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思源黑体 CN VF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B9C78">
    <w:pPr>
      <w:spacing w:line="176" w:lineRule="auto"/>
      <w:ind w:left="80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F96B7">
    <w:pPr>
      <w:spacing w:line="175" w:lineRule="auto"/>
      <w:ind w:left="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429AE">
    <w:pPr>
      <w:spacing w:line="175" w:lineRule="auto"/>
      <w:ind w:left="7999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3"/>
        <w:sz w:val="25"/>
        <w:szCs w:val="25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F1F7">
    <w:pPr>
      <w:spacing w:line="175" w:lineRule="auto"/>
      <w:ind w:left="1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36E6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F7D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 WWO_wpscloud_20241220194352-2b83fcf251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2025-01-06T23:38:00Z</dcterms:created>
  <dc:creator>Kingsoft-PDF</dc:creator>
  <dcterms:modified xsi:type="dcterms:W3CDTF">2025-01-06T15:38:42Z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2025-01-06T15:38:06Z</vt:filetime>
  </property>
  <property fmtid="{D5CDD505-2E9C-101B-9397-08002B2CF9AE}" pid="4" name="UsrData">
    <vt:lpwstr>677b88599e0810001fd13509wl</vt:lpwstr>
  </property>
  <property fmtid="{D5CDD505-2E9C-101B-9397-08002B2CF9AE}" pid="5" name="KSOProductBuildVer">
    <vt:lpwstr>2052-12.9.0.19779</vt:lpwstr>
  </property>
  <property fmtid="{D5CDD505-2E9C-101B-9397-08002B2CF9AE}" pid="6" name="ICV">
    <vt:lpwstr>1B0F902391538BEB82887B67CB763D19_43</vt:lpwstr>
  </property>
</Properties>
</file>