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eastAsia="zh-CN"/>
        </w:rPr>
        <w:t>供水供气供暖接入外线工程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需审批和免审批项目清单</w:t>
      </w:r>
    </w:p>
    <w:p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7"/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免审批项目清单</w:t>
      </w:r>
    </w:p>
    <w:p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sz w:val="32"/>
          <w:szCs w:val="32"/>
        </w:rPr>
        <w:t>对于城市区域范围内需要建设的电压等级为10千伏以下、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1"/>
          <w:szCs w:val="31"/>
        </w:rPr>
        <w:t>接入低压燃气、供热、供排水管线长度不大于200米，且开挖、占用城市道路和临时占用绿地长度不大于100米的配套接入工程（不包括城市主干道以及新建、改建、扩建交付使用未满5年、大修未满3年的城市道路）。其中，新接入管道天然气的，设计压力10千帕以下（不含10千帕），接入管线直径不大于10厘米；供热管径不大于15厘米；供水管径不大于30厘米；排水管径不大于60厘米的，免除办理行政审批手续，实行告知承诺备案制。</w:t>
      </w:r>
    </w:p>
    <w:p>
      <w:pPr>
        <w:pStyle w:val="7"/>
        <w:numPr>
          <w:ilvl w:val="0"/>
          <w:numId w:val="0"/>
        </w:numPr>
        <w:ind w:left="642" w:leftChars="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需审批项目清单</w:t>
      </w:r>
    </w:p>
    <w:p>
      <w:pPr>
        <w:ind w:firstLine="62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免审批项目清单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以外的项目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1"/>
          <w:szCs w:val="31"/>
          <w:lang w:val="en-US" w:eastAsia="zh-CN"/>
        </w:rPr>
        <w:t>，全面推行一表申请、并联审批、同步办理，实行并联审批制。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2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可实行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告知承诺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制审批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事项清单</w:t>
      </w:r>
    </w:p>
    <w:p>
      <w:pPr>
        <w:pStyle w:val="7"/>
        <w:rPr>
          <w:rFonts w:hint="eastAsia"/>
        </w:rPr>
      </w:pPr>
    </w:p>
    <w:tbl>
      <w:tblPr>
        <w:tblStyle w:val="10"/>
        <w:tblW w:w="13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0"/>
        <w:gridCol w:w="2438"/>
        <w:gridCol w:w="2438"/>
        <w:gridCol w:w="2486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审批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事项类型</w:t>
            </w:r>
          </w:p>
        </w:tc>
        <w:tc>
          <w:tcPr>
            <w:tcW w:w="24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事项名称</w:t>
            </w:r>
          </w:p>
        </w:tc>
        <w:tc>
          <w:tcPr>
            <w:tcW w:w="24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承诺材料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及情形</w:t>
            </w:r>
          </w:p>
        </w:tc>
        <w:tc>
          <w:tcPr>
            <w:tcW w:w="423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承诺内容承诺期限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住建局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行政许可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  <w:t>市政设施建设类审批</w:t>
            </w:r>
          </w:p>
        </w:tc>
        <w:tc>
          <w:tcPr>
            <w:tcW w:w="2486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eastAsia="zh-CN"/>
              </w:rPr>
              <w:t xml:space="preserve">1.经审查的城市“破路、破绿”施工组织方案；                                      </w:t>
            </w:r>
          </w:p>
        </w:tc>
        <w:tc>
          <w:tcPr>
            <w:tcW w:w="4237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企业按照告知承诺书要求作出书面承诺，并按照承诺日期补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齐</w:t>
            </w:r>
            <w:r>
              <w:rPr>
                <w:rFonts w:hint="eastAsia" w:ascii="仿宋" w:hAnsi="仿宋" w:eastAsia="仿宋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相关手续。</w:t>
            </w:r>
          </w:p>
        </w:tc>
      </w:tr>
    </w:tbl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left="642"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7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附件3：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  <w:t>供水、供气、供暖接入外线工程并联审批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  <w:t>服务指南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一、办理事项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市政设施建设类审批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二、事项依据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1、《中华人民共和国城乡规划法》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2、《城市道路管理条例》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3、《中华人民共和国道路交通安全法》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4、《城市绿化条例》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三、审批范围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供水、供气、供暖接入外线工程涉及的市政设施建设类审批事项。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四、办结时限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1个工作日（不含补件、会议审查等特殊程序时限）。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五、申报方式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1、现场申报：阿巴嘎旗政务服务中心工程建设项目审批综合窗口。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2、线上申报：锡林郭勒盟工程建设项目网上申报大厅。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3、办理时间：周一至周五上午8：30-12：00，下午2:30-5:30（法定节假日除外）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六、申报材料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1、市政设施建设类审批申请表；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2、规划批准文件或其他文件；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3、经审查的城市“破路、破绿”施工组织方案；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4、关于实施供水供气供暖接入外线工程承诺书（附件5） 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七、办理流程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受理→现场勘查→决定。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八、收费事项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1、收费依据：《内蒙古自治区发展改革委、财政厅关于规范城市道路挖掘修复收费标准有关问题的通知》（内发改费字[2016]323号）；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2、 收费标准：水泥路面：290元/m²; 沥青路面：290元/m²； 环保砖人行道路110元/m²； 石材人行道路面360元/m²： 石材侧石：260元/延米；收费总额＝建成周期系数×收费标准。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附件4 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"/>
        </w:rPr>
        <w:t>供水、供气、供暖接入外线工程并联审批告知承诺备案制一次性告知书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一、告知承诺备案制适用范围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供水、供气、供暖接入外线工程涉及的市政设施建设类审批事项，推行告知承诺备案制。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二、提交材料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1、市政设施建设类审批申请表；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2、设计文件或施工图；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3、经审查合格的城市施工组织方案（包括树木补栽、绿地恢复计划、恢复供水方案及应急措施） 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4、施工企业资质证明及修复补偿缴纳凭证。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三、收费依据及标准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1、收费依据：《内蒙古自治区发展改革委、财政厅关于规范城市道路挖掘修复收费标准有关问题的通知》（内发改费字[2016]323号）；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2、收费标准：水泥路面：290元/㎡; 沥青路面：290元/㎡；环保砖人行道路110元/㎡； 石材人行道路面360元/㎡：石材侧石：260元/延米；收费总额＝建成周期系数×收费标准。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四、告知承诺备案制流程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1.提出申请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2.现场勘查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3.项目施工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五、服务时限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申请人提交“关于实施供水、供气、供暖接入外线工程承诺书”后，各相关审批部门在 1 个工作日内现场踏勘，现场明确施工意见。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附件5：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“破路、破绿”许可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承诺书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2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称：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-20"/>
          <w:sz w:val="32"/>
          <w:szCs w:val="32"/>
          <w:shd w:val="clear" w:fill="FFFFFF"/>
          <w:lang w:eastAsia="zh-CN"/>
        </w:rPr>
        <w:t>统一社会信用代码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法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表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人：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地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址：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系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方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式：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托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代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理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人：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类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型：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号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码：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联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系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方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式：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“破路、破绿”地址及面积：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开 竣 工 日 期：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shd w:val="clear" w:fill="FFFFFF"/>
        </w:rPr>
        <w:t>申请人就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shd w:val="clear" w:fill="FFFFFF"/>
          <w:lang w:eastAsia="zh-CN"/>
        </w:rPr>
        <w:t>城镇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u w:val="none"/>
          <w:shd w:val="clear" w:fill="FFFFFF"/>
          <w:lang w:val="en-US" w:eastAsia="zh-CN"/>
        </w:rPr>
        <w:t>“破路、破绿”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shd w:val="clear" w:fill="FFFFFF"/>
          <w:lang w:eastAsia="zh-CN"/>
        </w:rPr>
        <w:t>行政审批事项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shd w:val="clear" w:fill="FFFFFF"/>
        </w:rPr>
        <w:t>，现作出下列承诺：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在施工前已查清施工区域的地下管线情况，并与有关管线单位联系，已采取有效措施保护地下管网。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严格按照施工日期、面积进行施工，合理配置人力机具，避免在交通高峰时段进行施工。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施工时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按照规定设置规范的封闭围挡设施，对施工范围采取围蔽作业，施工材料、机具等不超出施工围蔽范围。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6"/>
          <w:sz w:val="32"/>
          <w:szCs w:val="32"/>
          <w:shd w:val="clear" w:fill="FFFFFF"/>
          <w:lang w:eastAsia="zh-CN"/>
        </w:rPr>
        <w:t>施工时按照规定设置标准的交通导向、标线，夜间设置警示灯具，对车辆和人行影响较大的工程施工，做好交通疏导措施，并专人协助公安交通管理部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门疏导交通，保证道路通行和行人安全。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大型机械施工作业时，于晚上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10时前完成，并采取有效措施防止施工噪音和施工生产的粉尘。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施工产生的淤泥、废料等及时清运，施工产生的泥浆水，经沉淀处理后排入市政污水管道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7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7"/>
          <w:sz w:val="32"/>
          <w:szCs w:val="32"/>
          <w:shd w:val="clear" w:fill="FFFFFF"/>
          <w:lang w:eastAsia="zh-CN"/>
        </w:rPr>
        <w:t>严格按照城镇道路、绿化修复标准，及时修复城镇路面、绿化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-17"/>
          <w:sz w:val="32"/>
          <w:szCs w:val="32"/>
          <w:shd w:val="clear" w:fill="FFFFFF"/>
        </w:rPr>
        <w:t>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8.自竣工日起对因施工造成的路面修复质量进行为期一年的承诺，弱承诺期内该施工区域内出现道路塌陷、破损由本企业（人）进行二次修复并承担由此产生的其他后果。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未按承诺补正的，主动接受审批、监管、综合执法部门的相应诚信惩戒、监督管理和行政处罚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若有不实承诺或违反承诺等失信行为，由此产生的一切后果和相应法律责任由本企业（人）全权承担；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.在承诺期内给第三方造成的影响、损失和产生的法律后果，本企业（人）依法承担相应的法律责任和经济赔偿；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.上述承诺是本企业（人）真实意思的表示。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备案部门意见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    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（公章和法人签章）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zVjNGI2MDNmNDFhNDRlYWVmNTdkYWMyMzRmZTcifQ=="/>
  </w:docVars>
  <w:rsids>
    <w:rsidRoot w:val="1B60662D"/>
    <w:rsid w:val="00010619"/>
    <w:rsid w:val="03DE19B8"/>
    <w:rsid w:val="044E2BE0"/>
    <w:rsid w:val="06E24EE6"/>
    <w:rsid w:val="08941582"/>
    <w:rsid w:val="08EB4EA1"/>
    <w:rsid w:val="09AE7AAC"/>
    <w:rsid w:val="0A49071D"/>
    <w:rsid w:val="0F8278D1"/>
    <w:rsid w:val="11E15319"/>
    <w:rsid w:val="14B00033"/>
    <w:rsid w:val="16A3500D"/>
    <w:rsid w:val="18D30715"/>
    <w:rsid w:val="1B60662D"/>
    <w:rsid w:val="1D95432B"/>
    <w:rsid w:val="20F4498D"/>
    <w:rsid w:val="23893C48"/>
    <w:rsid w:val="27CC3BFE"/>
    <w:rsid w:val="28DA7D34"/>
    <w:rsid w:val="28F12CF2"/>
    <w:rsid w:val="29653EA0"/>
    <w:rsid w:val="2CB57020"/>
    <w:rsid w:val="2DB65067"/>
    <w:rsid w:val="30224D9D"/>
    <w:rsid w:val="3106021B"/>
    <w:rsid w:val="32715B68"/>
    <w:rsid w:val="36EC6B97"/>
    <w:rsid w:val="37804A6C"/>
    <w:rsid w:val="38727C91"/>
    <w:rsid w:val="38741F0E"/>
    <w:rsid w:val="3A175247"/>
    <w:rsid w:val="3AD9613D"/>
    <w:rsid w:val="3B13117F"/>
    <w:rsid w:val="3BB478CB"/>
    <w:rsid w:val="407135B4"/>
    <w:rsid w:val="40BB2DD0"/>
    <w:rsid w:val="46AC2CBA"/>
    <w:rsid w:val="4A6F2535"/>
    <w:rsid w:val="4CF026D3"/>
    <w:rsid w:val="50AE3672"/>
    <w:rsid w:val="53A73983"/>
    <w:rsid w:val="59030344"/>
    <w:rsid w:val="599E658B"/>
    <w:rsid w:val="5B0C41F8"/>
    <w:rsid w:val="5BE110AF"/>
    <w:rsid w:val="5CCD3777"/>
    <w:rsid w:val="619B27CD"/>
    <w:rsid w:val="62B86C64"/>
    <w:rsid w:val="63667A60"/>
    <w:rsid w:val="63B70D7D"/>
    <w:rsid w:val="649C3291"/>
    <w:rsid w:val="68950A18"/>
    <w:rsid w:val="6D3E62D3"/>
    <w:rsid w:val="6E2F77AF"/>
    <w:rsid w:val="6E3851B0"/>
    <w:rsid w:val="701D6A70"/>
    <w:rsid w:val="70B65D7D"/>
    <w:rsid w:val="72055DD2"/>
    <w:rsid w:val="729E3B21"/>
    <w:rsid w:val="76290896"/>
    <w:rsid w:val="762A6182"/>
    <w:rsid w:val="777D4378"/>
    <w:rsid w:val="78F231DC"/>
    <w:rsid w:val="7B103944"/>
    <w:rsid w:val="7D5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ind w:left="640" w:leftChars="200"/>
      <w:outlineLvl w:val="0"/>
    </w:pPr>
    <w:rPr>
      <w:rFonts w:ascii="Arial" w:hAnsi="Arial" w:eastAsia="仿宋_GB2312"/>
      <w:b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仿宋_GB2312" w:hAnsi="宋体" w:eastAsia="仿宋_GB2312"/>
      <w:color w:val="000000"/>
      <w:kern w:val="0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3185</Words>
  <Characters>3288</Characters>
  <Lines>0</Lines>
  <Paragraphs>0</Paragraphs>
  <TotalTime>9</TotalTime>
  <ScaleCrop>false</ScaleCrop>
  <LinksUpToDate>false</LinksUpToDate>
  <CharactersWithSpaces>3426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2023-08-25T02:08:00Z</dcterms:created>
  <dc:creator>@奇</dc:creator>
  <cp:lastModifiedBy>WPS_1509357145</cp:lastModifiedBy>
  <cp:lastPrinted>2023-10-23T11:26:00Z</cp:lastPrinted>
  <dcterms:modified xsi:type="dcterms:W3CDTF">2023-12-22T09:02:16Z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05CF0EBE97E84CCBB77058F83D5AE95B_13</vt:lpwstr>
  </property>
</Properties>
</file>