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阿巴嘎旗“十二五”规划主要指标完成情况</w:t>
      </w:r>
    </w:p>
    <w:p>
      <w:pPr>
        <w:jc w:val="center"/>
        <w:rPr>
          <w:rFonts w:hint="eastAsia" w:ascii="楷体_GB2312" w:hAnsi="仿宋" w:eastAsia="楷体_GB2312" w:cs="宋体"/>
          <w:b/>
          <w:sz w:val="18"/>
          <w:szCs w:val="18"/>
        </w:rPr>
      </w:pPr>
    </w:p>
    <w:tbl>
      <w:tblPr>
        <w:tblStyle w:val="2"/>
        <w:tblW w:w="901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99"/>
        <w:gridCol w:w="2136"/>
        <w:gridCol w:w="978"/>
        <w:gridCol w:w="790"/>
        <w:gridCol w:w="1061"/>
        <w:gridCol w:w="884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3535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规划目标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2015年目标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年均增长（%）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2015年实际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年均增长（%）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发展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地区生产总值（亿元）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28.5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67.4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社会消费品零售总额（亿元）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15.4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10.1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服务业增加值占地区生产总值比重（%）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〔7〕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15.3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〔0.3〕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科技教育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高中阶段教育毛入学率（%）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91.9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94.5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青壮年非文盲率（%）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99.2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99.7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单位工业增加值用水量降低（%）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7.5m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6.8m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单位地区生产总值能源消耗降低（%）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〔-15〕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〔-34〕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单位地区生产总值二氧化碳排放降低（%）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草原植被盖度（%）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54.9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〔9.3〕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森林覆盖率（%）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2.81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〔0.41〕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主要污染物排放量（万吨）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0.7076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0.07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氨氮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0.0078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0.1565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达到锡盟要求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活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全旗总人口（万人）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4.49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4.46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城镇登记失业率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城镇新增就业人数（万人）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城镇常住居民人均可支配收入（元 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15466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33000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16.4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牧区常住居民人均可支配收入（元 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9172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16.9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城镇参加基本养老保险人数（万人）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0.3138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0..3742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注：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〔〕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内为五年累计数。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VhZjBmZTQ1ZTM5MjJlYTA1MDAwZmJkM2VjOTkifQ=="/>
  </w:docVars>
  <w:rsids>
    <w:rsidRoot w:val="00000000"/>
    <w:rsid w:val="27A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2023-06-26T02:17:28Z</dcterms:created>
  <dc:creator>ZWFWJQJJ</dc:creator>
  <cp:lastModifiedBy>普凡</cp:lastModifiedBy>
  <dcterms:modified xsi:type="dcterms:W3CDTF">2023-06-26T02:17:34Z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6226B55DECB345CCB5443082FBB5250A</vt:lpwstr>
  </property>
</Properties>
</file>